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:frescopa-beans:</w:t>
      </w:r>
    </w:p>
    <w:p>
      <w:pPr>
        <w:pStyle w:val="Heading1"/>
      </w:pPr>
      <w:r>
        <w:t>Welcome to the Fréscopa Asset Library</w:t>
      </w:r>
    </w:p>
    <w:p>
      <w:r>
        <w:t>Search, preview, and download brand-approved coffee, machine, and lifestyle imagery.</w:t>
      </w:r>
    </w:p>
    <w:p>
      <w:hyperlink r:id="rId9">
        <w:r>
          <w:rPr>
            <w:b/>
          </w:rPr>
          <w:t xml:space="preserve">Sign in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 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style</w:t>
            </w:r>
          </w:p>
        </w:tc>
        <w:tc>
          <w:tcPr>
            <w:tcW w:type="dxa" w:w="4320"/>
          </w:tcPr>
          <w:p>
            <w:r>
              <w:t>welcome</w:t>
            </w:r>
          </w:p>
        </w:tc>
      </w:tr>
    </w:tbl>
    <w:p/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Sign in — Fréscopa Asset Library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Sign in to access the Fréscopa brand asset portal.</w:t>
            </w:r>
          </w:p>
        </w:tc>
      </w:tr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footer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auth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