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Fréscopa</w:t>
      </w:r>
    </w:p>
    <w:p>
      <w:r>
        <w:t>Born from a passion for exceptional coffee and modern living, Fréscopa blends the craftsmanship of classic espresso with the convenience and flair of today’s lifestyle. Every product, every moment, beautifully captured.</w:t>
      </w:r>
    </w:p>
    <w:p>
      <w:r>
        <w:t>This portal is the home of the Fréscopa brand library — search, preview, and download product photography, machine imagery, lifestyle shots, packaging, and more.</w:t>
      </w:r>
    </w:p>
    <w:p>
      <w:hyperlink r:id="rId9">
        <w:r>
          <w:rPr>
            <w:b/>
          </w:rPr>
          <w:t xml:space="preserve">Browse the library</w:t>
        </w:r>
      </w:hyperlink>
    </w:p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About Fréscopa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story behind the Fréscopa brand and asset library.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en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