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settings.xml" ContentType="application/vnd.openxmlformats-officedocument.wordprocessingml.setting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Arial Narrow" w:hAnsi="Arial Narrow"/>
          <w:b/>
          <w:b/>
          <w:sz w:val="32"/>
          <w:szCs w:val="32"/>
        </w:rPr>
      </w:pPr>
      <w:r>
        <w:rPr>
          <w:rFonts w:ascii="Arial Narrow" w:hAnsi="Arial Narrow"/>
          <w:b/>
          <w:sz w:val="32"/>
          <w:szCs w:val="32"/>
        </w:rPr>
        <w:t>TENANT NAME</w:t>
      </w:r>
    </w:p>
    <w:p>
      <w:pPr>
        <w:pStyle w:val="Normal"/>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sz w:val="22"/>
          <w:szCs w:val="22"/>
        </w:rPr>
      </w:pPr>
      <w:r>
        <w:rPr>
          <w:rFonts w:ascii="Arial Narrow" w:hAnsi="Arial Narrow"/>
          <w:b/>
          <w:sz w:val="22"/>
          <w:szCs w:val="22"/>
        </w:rPr>
        <w:t>Tenant:</w:t>
        <w:tab/>
        <w:t>GMRI</w:t>
      </w:r>
      <w:r>
        <w:rPr>
          <w:rFonts w:ascii="Arial Narrow" w:hAnsi="Arial Narrow"/>
          <w:b/>
          <w:color w:val="383A42"/>
          <w:sz w:val="22"/>
          <w:szCs w:val="22"/>
        </w:rPr>
        <w:t>,</w:t>
      </w:r>
      <w:r>
        <w:rPr>
          <w:rFonts w:ascii="Arial Narrow" w:hAnsi="Arial Narrow"/>
          <w:b/>
          <w:sz w:val="22"/>
          <w:szCs w:val="22"/>
        </w:rPr>
        <w:t xml:space="preserve"> INC. (a Florida corporation) d/b/a Olive Garden #1179</w:t>
      </w:r>
    </w:p>
    <w:p>
      <w:pPr>
        <w:pStyle w:val="Normal"/>
        <w:ind w:left="2160" w:hanging="2160"/>
        <w:jc w:val="both"/>
        <w:rPr>
          <w:rFonts w:ascii="Arial Narrow" w:hAnsi="Arial Narrow"/>
          <w:sz w:val="22"/>
          <w:szCs w:val="22"/>
        </w:rPr>
      </w:pPr>
      <w:r>
        <w:rPr>
          <w:rFonts w:ascii="Arial Narrow" w:hAnsi="Arial Narrow"/>
          <w:sz w:val="22"/>
          <w:szCs w:val="22"/>
        </w:rPr>
        <w:tab/>
      </w:r>
    </w:p>
    <w:p>
      <w:pPr>
        <w:pStyle w:val="Normal"/>
        <w:ind w:left="2160" w:hanging="2160"/>
        <w:jc w:val="both"/>
        <w:rPr>
          <w:rFonts w:ascii="Arial Narrow" w:hAnsi="Arial Narrow"/>
          <w:bCs/>
          <w:sz w:val="22"/>
          <w:szCs w:val="22"/>
        </w:rPr>
      </w:pPr>
      <w:r>
        <w:rPr>
          <w:rFonts w:ascii="Arial Narrow" w:hAnsi="Arial Narrow"/>
          <w:b/>
          <w:sz w:val="22"/>
          <w:szCs w:val="22"/>
        </w:rPr>
        <w:t>Documents:</w:t>
      </w:r>
      <w:r>
        <w:rPr>
          <w:rFonts w:ascii="Arial Narrow" w:hAnsi="Arial Narrow"/>
          <w:sz w:val="22"/>
          <w:szCs w:val="22"/>
        </w:rPr>
        <w:tab/>
      </w:r>
      <w:r>
        <w:rPr>
          <w:rFonts w:ascii="Arial Narrow" w:hAnsi="Arial Narrow"/>
          <w:bCs/>
          <w:sz w:val="22"/>
          <w:szCs w:val="22"/>
        </w:rPr>
        <w:t>Lease dated March 23, 1989; First Amendment dated May 5, 2005; Second Amendment dated August 11, 2017; Third Amendment dated October 11, 2023"</w:t>
      </w:r>
    </w:p>
    <w:p>
      <w:pPr>
        <w:pStyle w:val="Normal"/>
        <w:ind w:left="2160" w:hanging="2160"/>
        <w:jc w:val="both"/>
        <w:rPr>
          <w:rFonts w:ascii="Arial Narrow" w:hAnsi="Arial Narrow"/>
          <w:bCs/>
          <w:sz w:val="22"/>
          <w:szCs w:val="22"/>
        </w:rPr>
      </w:pPr>
      <w:r>
        <w:rPr>
          <w:rFonts w:ascii="Arial Narrow" w:hAnsi="Arial Narrow"/>
          <w:bCs/>
          <w:sz w:val="22"/>
          <w:szCs w:val="22"/>
        </w:rPr>
        <w:tab/>
      </w:r>
    </w:p>
    <w:p>
      <w:pPr>
        <w:pStyle w:val="Normal"/>
        <w:ind w:left="2160" w:hanging="2160"/>
        <w:jc w:val="both"/>
        <w:rPr>
          <w:rFonts w:ascii="Arial Narrow" w:hAnsi="Arial Narrow"/>
          <w:sz w:val="22"/>
          <w:szCs w:val="22"/>
        </w:rPr>
      </w:pPr>
      <w:r>
        <w:rPr>
          <w:rFonts w:ascii="Arial Narrow" w:hAnsi="Arial Narrow"/>
          <w:b/>
          <w:sz w:val="22"/>
          <w:szCs w:val="22"/>
        </w:rPr>
        <w:t>Guarantor:</w:t>
      </w:r>
      <w:r>
        <w:rPr>
          <w:rFonts w:ascii="Arial Narrow" w:hAnsi="Arial Narrow"/>
          <w:sz w:val="22"/>
          <w:szCs w:val="22"/>
        </w:rPr>
        <w:tab/>
        <w:t>Not available</w:t>
      </w:r>
    </w:p>
    <w:p>
      <w:pPr>
        <w:pStyle w:val="Normal"/>
        <w:ind w:left="2160" w:hanging="2160"/>
        <w:jc w:val="both"/>
        <w:rPr>
          <w:rFonts w:ascii="Arial Narrow" w:hAnsi="Arial Narrow"/>
          <w:sz w:val="22"/>
          <w:szCs w:val="22"/>
        </w:rPr>
      </w:pPr>
      <w:r>
        <w:rPr>
          <w:rFonts w:ascii="Arial Narrow" w:hAnsi="Arial Narrow"/>
          <w:b/>
          <w:sz w:val="22"/>
          <w:szCs w:val="22"/>
        </w:rPr>
        <w:tab/>
      </w:r>
    </w:p>
    <w:p>
      <w:pPr>
        <w:pStyle w:val="Normal"/>
        <w:ind w:left="2160" w:hanging="2160"/>
        <w:jc w:val="both"/>
        <w:rPr>
          <w:rFonts w:ascii="Arial Narrow" w:hAnsi="Arial Narrow"/>
          <w:sz w:val="22"/>
          <w:szCs w:val="22"/>
        </w:rPr>
      </w:pPr>
      <w:r>
        <w:rPr>
          <w:rFonts w:ascii="Arial Narrow" w:hAnsi="Arial Narrow"/>
          <w:b/>
          <w:sz w:val="22"/>
          <w:szCs w:val="22"/>
        </w:rPr>
        <w:t>Square Feet:</w:t>
      </w:r>
      <w:r>
        <w:rPr>
          <w:rFonts w:ascii="Arial Narrow" w:hAnsi="Arial Narrow"/>
          <w:sz w:val="22"/>
          <w:szCs w:val="22"/>
        </w:rPr>
        <w:tab/>
        <w:t>"10,640 SF"</w:t>
      </w:r>
    </w:p>
    <w:p>
      <w:pPr>
        <w:pStyle w:val="Normal"/>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Pro Rata Share:</w:t>
        <w:tab/>
      </w:r>
      <w:r>
        <w:rPr>
          <w:rFonts w:ascii="Arial Narrow" w:hAnsi="Arial Narrow"/>
          <w:b/>
          <w:bCs/>
          <w:sz w:val="22"/>
          <w:szCs w:val="22"/>
        </w:rPr>
        <w:t>5.33% (for CAM purposes)</w:t>
      </w:r>
    </w:p>
    <w:p>
      <w:pPr>
        <w:pStyle w:val="Normal"/>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sz w:val="22"/>
          <w:szCs w:val="22"/>
        </w:rPr>
      </w:pPr>
      <w:r>
        <w:rPr>
          <w:rFonts w:ascii="Arial Narrow" w:hAnsi="Arial Narrow"/>
          <w:b/>
          <w:sz w:val="22"/>
          <w:szCs w:val="22"/>
        </w:rPr>
        <w:t>Term:</w:t>
      </w:r>
      <w:r>
        <w:rPr>
          <w:rFonts w:ascii="Arial Narrow" w:hAnsi="Arial Narrow"/>
          <w:sz w:val="22"/>
          <w:szCs w:val="22"/>
        </w:rPr>
        <w:t xml:space="preserve"> </w:t>
        <w:tab/>
        <w:t>Extended through January 31</w:t>
      </w:r>
      <w:r>
        <w:rPr>
          <w:rFonts w:ascii="Arial Narrow" w:hAnsi="Arial Narrow"/>
          <w:color w:val="383A42"/>
          <w:sz w:val="22"/>
          <w:szCs w:val="22"/>
        </w:rPr>
        <w:t>,</w:t>
      </w:r>
      <w:r>
        <w:rPr>
          <w:rFonts w:ascii="Arial Narrow" w:hAnsi="Arial Narrow"/>
          <w:sz w:val="22"/>
          <w:szCs w:val="22"/>
        </w:rPr>
        <w:t xml:space="preserve"> 2036</w:t>
      </w:r>
    </w:p>
    <w:p>
      <w:pPr>
        <w:pStyle w:val="Normal"/>
        <w:jc w:val="both"/>
        <w:rPr>
          <w:rFonts w:ascii="Arial Narrow" w:hAnsi="Arial Narrow"/>
          <w:sz w:val="22"/>
          <w:szCs w:val="22"/>
        </w:rPr>
      </w:pPr>
      <w:r>
        <w:rPr>
          <w:rFonts w:ascii="Arial Narrow" w:hAnsi="Arial Narrow"/>
          <w:sz w:val="22"/>
          <w:szCs w:val="22"/>
        </w:rPr>
      </w:r>
    </w:p>
    <w:tbl>
      <w:tblPr>
        <w:tblpPr w:bottomFromText="0" w:horzAnchor="text" w:leftFromText="180" w:rightFromText="180" w:tblpX="0" w:tblpY="1" w:topFromText="0" w:vertAnchor="text"/>
        <w:tblW w:w="9419" w:type="dxa"/>
        <w:jc w:val="left"/>
        <w:tblInd w:w="0" w:type="dxa"/>
        <w:tblLayout w:type="fixed"/>
        <w:tblCellMar>
          <w:top w:w="0" w:type="dxa"/>
          <w:left w:w="108" w:type="dxa"/>
          <w:bottom w:w="0" w:type="dxa"/>
          <w:right w:w="108" w:type="dxa"/>
        </w:tblCellMar>
        <w:tblLook w:val="0000" w:noVBand="0" w:noHBand="0" w:lastColumn="0" w:firstColumn="0" w:lastRow="0" w:firstRow="0"/>
      </w:tblPr>
      <w:tblGrid>
        <w:gridCol w:w="1440"/>
        <w:gridCol w:w="1168"/>
        <w:gridCol w:w="2612"/>
        <w:gridCol w:w="726"/>
        <w:gridCol w:w="1359"/>
        <w:gridCol w:w="754"/>
        <w:gridCol w:w="1359"/>
      </w:tblGrid>
      <w:tr>
        <w:trPr>
          <w:trHeight w:val="207" w:hRule="atLeast"/>
        </w:trPr>
        <w:tc>
          <w:tcPr>
            <w:tcW w:w="1440" w:type="dxa"/>
            <w:tcBorders/>
          </w:tcPr>
          <w:p>
            <w:pPr>
              <w:pStyle w:val="Normal"/>
              <w:widowControl w:val="false"/>
              <w:ind w:left="2160" w:hanging="2160"/>
              <w:jc w:val="both"/>
              <w:rPr>
                <w:rFonts w:ascii="Arial Narrow" w:hAnsi="Arial Narrow"/>
                <w:b/>
                <w:b/>
                <w:sz w:val="22"/>
                <w:szCs w:val="22"/>
              </w:rPr>
            </w:pPr>
            <w:r>
              <w:rPr>
                <w:rFonts w:ascii="Arial Narrow" w:hAnsi="Arial Narrow"/>
                <w:b/>
                <w:sz w:val="22"/>
                <w:szCs w:val="22"/>
              </w:rPr>
              <w:t>Rent:</w:t>
            </w:r>
          </w:p>
        </w:tc>
        <w:tc>
          <w:tcPr>
            <w:tcW w:w="1168" w:type="dxa"/>
            <w:tcBorders/>
          </w:tcPr>
          <w:p>
            <w:pPr>
              <w:pStyle w:val="Normal"/>
              <w:widowControl w:val="false"/>
              <w:ind w:left="2160" w:right="-108" w:hanging="2160"/>
              <w:jc w:val="center"/>
              <w:rPr>
                <w:rFonts w:ascii="Arial Narrow" w:hAnsi="Arial Narrow"/>
                <w:sz w:val="22"/>
                <w:szCs w:val="22"/>
                <w:u w:val="single"/>
              </w:rPr>
            </w:pPr>
            <w:r>
              <w:rPr>
                <w:rFonts w:ascii="Arial Narrow" w:hAnsi="Arial Narrow"/>
                <w:sz w:val="22"/>
                <w:szCs w:val="22"/>
                <w:u w:val="single"/>
              </w:rPr>
            </w:r>
          </w:p>
        </w:tc>
        <w:tc>
          <w:tcPr>
            <w:tcW w:w="2612" w:type="dxa"/>
            <w:tcBorders/>
          </w:tcPr>
          <w:p>
            <w:pPr>
              <w:pStyle w:val="Normal"/>
              <w:widowControl w:val="false"/>
              <w:ind w:left="2160" w:right="-108" w:hanging="2160"/>
              <w:jc w:val="center"/>
              <w:rPr>
                <w:rFonts w:ascii="Arial Narrow" w:hAnsi="Arial Narrow"/>
                <w:sz w:val="22"/>
                <w:szCs w:val="22"/>
                <w:u w:val="single"/>
              </w:rPr>
            </w:pPr>
            <w:r>
              <w:rPr>
                <w:rFonts w:ascii="Arial Narrow" w:hAnsi="Arial Narrow"/>
                <w:sz w:val="22"/>
                <w:szCs w:val="22"/>
                <w:u w:val="single"/>
              </w:rPr>
            </w:r>
          </w:p>
        </w:tc>
        <w:tc>
          <w:tcPr>
            <w:tcW w:w="726" w:type="dxa"/>
            <w:tcBorders/>
          </w:tcPr>
          <w:p>
            <w:pPr>
              <w:pStyle w:val="Normal"/>
              <w:widowControl w:val="false"/>
              <w:ind w:left="2160" w:right="-106" w:hanging="2160"/>
              <w:jc w:val="center"/>
              <w:rPr>
                <w:rFonts w:ascii="Arial Narrow" w:hAnsi="Arial Narrow"/>
                <w:sz w:val="22"/>
                <w:szCs w:val="22"/>
                <w:u w:val="single"/>
              </w:rPr>
            </w:pPr>
            <w:r>
              <w:rPr>
                <w:rFonts w:ascii="Arial Narrow" w:hAnsi="Arial Narrow"/>
                <w:sz w:val="22"/>
                <w:szCs w:val="22"/>
                <w:u w:val="single"/>
              </w:rPr>
            </w:r>
          </w:p>
        </w:tc>
        <w:tc>
          <w:tcPr>
            <w:tcW w:w="1359" w:type="dxa"/>
            <w:tcBorders/>
          </w:tcPr>
          <w:p>
            <w:pPr>
              <w:pStyle w:val="Normal"/>
              <w:widowControl w:val="false"/>
              <w:ind w:left="2160" w:right="-106" w:hanging="2160"/>
              <w:jc w:val="center"/>
              <w:rPr>
                <w:rFonts w:ascii="Arial Narrow" w:hAnsi="Arial Narrow"/>
                <w:sz w:val="22"/>
                <w:szCs w:val="22"/>
                <w:u w:val="single"/>
              </w:rPr>
            </w:pPr>
            <w:r>
              <w:rPr>
                <w:rFonts w:ascii="Arial Narrow" w:hAnsi="Arial Narrow"/>
                <w:sz w:val="22"/>
                <w:szCs w:val="22"/>
                <w:u w:val="single"/>
              </w:rPr>
            </w:r>
          </w:p>
        </w:tc>
        <w:tc>
          <w:tcPr>
            <w:tcW w:w="2113" w:type="dxa"/>
            <w:gridSpan w:val="2"/>
            <w:tcBorders/>
          </w:tcPr>
          <w:p>
            <w:pPr>
              <w:pStyle w:val="Normal"/>
              <w:widowControl w:val="false"/>
              <w:ind w:left="2160" w:right="-106" w:hanging="2160"/>
              <w:jc w:val="center"/>
              <w:rPr>
                <w:rFonts w:ascii="Arial Narrow" w:hAnsi="Arial Narrow"/>
                <w:sz w:val="22"/>
                <w:szCs w:val="22"/>
                <w:u w:val="single"/>
              </w:rPr>
            </w:pPr>
            <w:r>
              <w:rPr>
                <w:rFonts w:ascii="Arial Narrow" w:hAnsi="Arial Narrow"/>
                <w:sz w:val="22"/>
                <w:szCs w:val="22"/>
                <w:u w:val="single"/>
              </w:rPr>
            </w:r>
          </w:p>
        </w:tc>
      </w:tr>
      <w:tr>
        <w:trPr>
          <w:trHeight w:val="207" w:hRule="atLeast"/>
        </w:trPr>
        <w:tc>
          <w:tcPr>
            <w:tcW w:w="1440" w:type="dxa"/>
            <w:tcBorders/>
          </w:tcPr>
          <w:p>
            <w:pPr>
              <w:pStyle w:val="Normal"/>
              <w:widowControl w:val="false"/>
              <w:ind w:left="2160" w:hanging="2160"/>
              <w:jc w:val="both"/>
              <w:rPr>
                <w:rFonts w:ascii="Arial Narrow" w:hAnsi="Arial Narrow"/>
                <w:b/>
                <w:b/>
                <w:sz w:val="22"/>
                <w:szCs w:val="22"/>
              </w:rPr>
            </w:pPr>
            <w:r>
              <w:rPr>
                <w:rFonts w:ascii="Arial Narrow" w:hAnsi="Arial Narrow"/>
                <w:b/>
                <w:sz w:val="22"/>
                <w:szCs w:val="22"/>
              </w:rPr>
            </w:r>
          </w:p>
        </w:tc>
        <w:tc>
          <w:tcPr>
            <w:tcW w:w="1168" w:type="dxa"/>
            <w:tcBorders/>
          </w:tcPr>
          <w:p>
            <w:pPr>
              <w:pStyle w:val="Normal"/>
              <w:widowControl w:val="false"/>
              <w:ind w:left="2160" w:right="-108" w:hanging="2160"/>
              <w:jc w:val="center"/>
              <w:rPr>
                <w:rFonts w:ascii="Arial Narrow" w:hAnsi="Arial Narrow"/>
                <w:sz w:val="22"/>
                <w:szCs w:val="22"/>
                <w:u w:val="single"/>
              </w:rPr>
            </w:pPr>
            <w:r>
              <w:rPr>
                <w:rFonts w:ascii="Arial Narrow" w:hAnsi="Arial Narrow"/>
                <w:sz w:val="22"/>
                <w:szCs w:val="22"/>
                <w:u w:val="single"/>
              </w:rPr>
              <w:t>Annual</w:t>
            </w:r>
          </w:p>
        </w:tc>
        <w:tc>
          <w:tcPr>
            <w:tcW w:w="2612" w:type="dxa"/>
            <w:tcBorders/>
          </w:tcPr>
          <w:p>
            <w:pPr>
              <w:pStyle w:val="Normal"/>
              <w:widowControl w:val="false"/>
              <w:ind w:left="2160" w:right="-108" w:hanging="2160"/>
              <w:jc w:val="center"/>
              <w:rPr>
                <w:rFonts w:ascii="Arial Narrow" w:hAnsi="Arial Narrow"/>
                <w:sz w:val="22"/>
                <w:szCs w:val="22"/>
                <w:u w:val="single"/>
              </w:rPr>
            </w:pPr>
            <w:r>
              <w:rPr>
                <w:rFonts w:ascii="Arial Narrow" w:hAnsi="Arial Narrow"/>
                <w:sz w:val="22"/>
                <w:szCs w:val="22"/>
                <w:u w:val="single"/>
              </w:rPr>
              <w:t>Monthly</w:t>
            </w:r>
          </w:p>
        </w:tc>
        <w:tc>
          <w:tcPr>
            <w:tcW w:w="726" w:type="dxa"/>
            <w:tcBorders/>
          </w:tcPr>
          <w:p>
            <w:pPr>
              <w:pStyle w:val="Normal"/>
              <w:widowControl w:val="false"/>
              <w:ind w:left="2160" w:right="-106" w:hanging="2160"/>
              <w:jc w:val="center"/>
              <w:rPr>
                <w:rFonts w:ascii="Arial Narrow" w:hAnsi="Arial Narrow"/>
                <w:sz w:val="22"/>
                <w:szCs w:val="22"/>
                <w:u w:val="single"/>
              </w:rPr>
            </w:pPr>
            <w:r>
              <w:rPr>
                <w:rFonts w:ascii="Arial Narrow" w:hAnsi="Arial Narrow"/>
                <w:sz w:val="22"/>
                <w:szCs w:val="22"/>
                <w:u w:val="single"/>
              </w:rPr>
              <w:t>PSF</w:t>
            </w:r>
          </w:p>
        </w:tc>
        <w:tc>
          <w:tcPr>
            <w:tcW w:w="2113" w:type="dxa"/>
            <w:gridSpan w:val="2"/>
            <w:tcBorders/>
          </w:tcPr>
          <w:p>
            <w:pPr>
              <w:pStyle w:val="Normal"/>
              <w:widowControl w:val="false"/>
              <w:ind w:left="2160" w:right="-106" w:hanging="2160"/>
              <w:jc w:val="center"/>
              <w:rPr>
                <w:rFonts w:ascii="Arial Narrow" w:hAnsi="Arial Narrow"/>
                <w:sz w:val="22"/>
                <w:szCs w:val="22"/>
                <w:u w:val="single"/>
              </w:rPr>
            </w:pPr>
            <w:r>
              <w:rPr>
                <w:rFonts w:ascii="Arial Narrow" w:hAnsi="Arial Narrow"/>
                <w:sz w:val="22"/>
                <w:szCs w:val="22"/>
                <w:u w:val="single"/>
              </w:rPr>
              <w:t>Step-Up Date</w:t>
            </w:r>
          </w:p>
        </w:tc>
        <w:tc>
          <w:tcPr>
            <w:tcW w:w="1359" w:type="dxa"/>
            <w:tcBorders/>
          </w:tcPr>
          <w:p>
            <w:pPr>
              <w:pStyle w:val="Normal"/>
              <w:widowControl w:val="false"/>
              <w:rPr/>
            </w:pPr>
            <w:r>
              <w:rPr/>
            </w:r>
          </w:p>
        </w:tc>
      </w:tr>
      <w:tr>
        <w:trPr>
          <w:trHeight w:val="207" w:hRule="atLeast"/>
        </w:trPr>
        <w:tc>
          <w:tcPr>
            <w:tcW w:w="1440" w:type="dxa"/>
            <w:tcBorders/>
          </w:tcPr>
          <w:p>
            <w:pPr>
              <w:pStyle w:val="Normal"/>
              <w:widowControl w:val="false"/>
              <w:ind w:left="2160" w:hanging="2160"/>
              <w:jc w:val="both"/>
              <w:rPr>
                <w:rFonts w:ascii="Arial Narrow" w:hAnsi="Arial Narrow"/>
                <w:b/>
                <w:b/>
                <w:sz w:val="22"/>
                <w:szCs w:val="22"/>
              </w:rPr>
            </w:pPr>
            <w:r>
              <w:rPr>
                <w:rFonts w:ascii="Arial Narrow" w:hAnsi="Arial Narrow"/>
                <w:b/>
                <w:sz w:val="22"/>
                <w:szCs w:val="22"/>
              </w:rPr>
            </w:r>
          </w:p>
        </w:tc>
        <w:tc>
          <w:tcPr>
            <w:tcW w:w="1168" w:type="dxa"/>
            <w:tcBorders/>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$111,804.00</w:t>
            </w:r>
          </w:p>
        </w:tc>
        <w:tc>
          <w:tcPr>
            <w:tcW w:w="2612" w:type="dxa"/>
            <w:tcBorders/>
            <w:vAlign w:val="bottom"/>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$9,317.00</w:t>
            </w:r>
          </w:p>
        </w:tc>
        <w:tc>
          <w:tcPr>
            <w:tcW w:w="726" w:type="dxa"/>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$10.51</w:t>
            </w:r>
          </w:p>
        </w:tc>
        <w:tc>
          <w:tcPr>
            <w:tcW w:w="2113" w:type="dxa"/>
            <w:gridSpan w:val="2"/>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Current (through Jan 31</w:t>
            </w:r>
            <w:r>
              <w:rPr>
                <w:rFonts w:ascii="Arial Narrow" w:hAnsi="Arial Narrow"/>
                <w:color w:val="383A42"/>
                <w:sz w:val="22"/>
                <w:szCs w:val="22"/>
              </w:rPr>
              <w:t>,</w:t>
            </w:r>
            <w:r>
              <w:rPr>
                <w:rFonts w:ascii="Arial Narrow" w:hAnsi="Arial Narrow"/>
                <w:sz w:val="22"/>
                <w:szCs w:val="22"/>
              </w:rPr>
              <w:t xml:space="preserve"> 2026)</w:t>
            </w:r>
          </w:p>
        </w:tc>
        <w:tc>
          <w:tcPr>
            <w:tcW w:w="1359" w:type="dxa"/>
            <w:tcBorders/>
          </w:tcPr>
          <w:p>
            <w:pPr>
              <w:pStyle w:val="Normal"/>
              <w:widowControl w:val="false"/>
              <w:rPr/>
            </w:pPr>
            <w:r>
              <w:rPr/>
            </w:r>
          </w:p>
        </w:tc>
      </w:tr>
      <w:tr>
        <w:trPr>
          <w:trHeight w:val="207" w:hRule="atLeast"/>
        </w:trPr>
        <w:tc>
          <w:tcPr>
            <w:tcW w:w="1440" w:type="dxa"/>
            <w:tcBorders/>
          </w:tcPr>
          <w:p>
            <w:pPr>
              <w:pStyle w:val="Normal"/>
              <w:widowControl w:val="false"/>
              <w:ind w:left="2160" w:hanging="2160"/>
              <w:jc w:val="both"/>
              <w:rPr>
                <w:rFonts w:ascii="Arial Narrow" w:hAnsi="Arial Narrow"/>
                <w:b/>
                <w:b/>
                <w:sz w:val="22"/>
                <w:szCs w:val="22"/>
              </w:rPr>
            </w:pPr>
            <w:r>
              <w:rPr>
                <w:rFonts w:ascii="Arial Narrow" w:hAnsi="Arial Narrow"/>
                <w:b/>
                <w:sz w:val="22"/>
                <w:szCs w:val="22"/>
              </w:rPr>
            </w:r>
          </w:p>
        </w:tc>
        <w:tc>
          <w:tcPr>
            <w:tcW w:w="1168" w:type="dxa"/>
            <w:tcBorders/>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$122,984.40</w:t>
            </w:r>
          </w:p>
        </w:tc>
        <w:tc>
          <w:tcPr>
            <w:tcW w:w="2612" w:type="dxa"/>
            <w:tcBorders/>
            <w:vAlign w:val="bottom"/>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$10,248.70</w:t>
            </w:r>
          </w:p>
        </w:tc>
        <w:tc>
          <w:tcPr>
            <w:tcW w:w="726" w:type="dxa"/>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$11.56</w:t>
            </w:r>
          </w:p>
        </w:tc>
        <w:tc>
          <w:tcPr>
            <w:tcW w:w="2113" w:type="dxa"/>
            <w:gridSpan w:val="2"/>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February 1</w:t>
            </w:r>
            <w:r>
              <w:rPr>
                <w:rFonts w:ascii="Arial Narrow" w:hAnsi="Arial Narrow"/>
                <w:color w:val="383A42"/>
                <w:sz w:val="22"/>
                <w:szCs w:val="22"/>
              </w:rPr>
              <w:t>,</w:t>
            </w:r>
            <w:r>
              <w:rPr>
                <w:rFonts w:ascii="Arial Narrow" w:hAnsi="Arial Narrow"/>
                <w:sz w:val="22"/>
                <w:szCs w:val="22"/>
              </w:rPr>
              <w:t xml:space="preserve"> 2026</w:t>
            </w:r>
          </w:p>
        </w:tc>
        <w:tc>
          <w:tcPr>
            <w:tcW w:w="1359" w:type="dxa"/>
            <w:tcBorders/>
          </w:tcPr>
          <w:p>
            <w:pPr>
              <w:pStyle w:val="Normal"/>
              <w:widowControl w:val="false"/>
              <w:rPr/>
            </w:pPr>
            <w:r>
              <w:rPr/>
            </w:r>
          </w:p>
        </w:tc>
      </w:tr>
      <w:tr>
        <w:trPr>
          <w:trHeight w:val="207" w:hRule="atLeast"/>
        </w:trPr>
        <w:tc>
          <w:tcPr>
            <w:tcW w:w="1440" w:type="dxa"/>
            <w:tcBorders/>
          </w:tcPr>
          <w:p>
            <w:pPr>
              <w:pStyle w:val="Normal"/>
              <w:widowControl w:val="false"/>
              <w:ind w:left="2160" w:hanging="2160"/>
              <w:jc w:val="both"/>
              <w:rPr>
                <w:rFonts w:ascii="Arial Narrow" w:hAnsi="Arial Narrow"/>
                <w:b/>
                <w:b/>
                <w:sz w:val="22"/>
                <w:szCs w:val="22"/>
              </w:rPr>
            </w:pPr>
            <w:r>
              <w:rPr>
                <w:rFonts w:ascii="Arial Narrow" w:hAnsi="Arial Narrow"/>
                <w:b/>
                <w:sz w:val="22"/>
                <w:szCs w:val="22"/>
              </w:rPr>
            </w:r>
          </w:p>
        </w:tc>
        <w:tc>
          <w:tcPr>
            <w:tcW w:w="1168" w:type="dxa"/>
            <w:tcBorders/>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$135,282.84</w:t>
            </w:r>
          </w:p>
        </w:tc>
        <w:tc>
          <w:tcPr>
            <w:tcW w:w="2612" w:type="dxa"/>
            <w:tcBorders/>
            <w:vAlign w:val="bottom"/>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$11,273.57</w:t>
            </w:r>
          </w:p>
        </w:tc>
        <w:tc>
          <w:tcPr>
            <w:tcW w:w="726" w:type="dxa"/>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$12.72</w:t>
            </w:r>
          </w:p>
        </w:tc>
        <w:tc>
          <w:tcPr>
            <w:tcW w:w="2113" w:type="dxa"/>
            <w:gridSpan w:val="2"/>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February 1</w:t>
            </w:r>
            <w:r>
              <w:rPr>
                <w:rFonts w:ascii="Arial Narrow" w:hAnsi="Arial Narrow"/>
                <w:color w:val="383A42"/>
                <w:sz w:val="22"/>
                <w:szCs w:val="22"/>
              </w:rPr>
              <w:t>,</w:t>
            </w:r>
            <w:r>
              <w:rPr>
                <w:rFonts w:ascii="Arial Narrow" w:hAnsi="Arial Narrow"/>
                <w:sz w:val="22"/>
                <w:szCs w:val="22"/>
              </w:rPr>
              <w:t xml:space="preserve"> 2031 </w:t>
            </w:r>
          </w:p>
        </w:tc>
        <w:tc>
          <w:tcPr>
            <w:tcW w:w="1359" w:type="dxa"/>
            <w:tcBorders/>
          </w:tcPr>
          <w:p>
            <w:pPr>
              <w:pStyle w:val="Normal"/>
              <w:widowControl w:val="false"/>
              <w:rPr/>
            </w:pPr>
            <w:r>
              <w:rPr/>
            </w:r>
          </w:p>
        </w:tc>
      </w:tr>
      <w:tr>
        <w:trPr>
          <w:trHeight w:val="207" w:hRule="atLeast"/>
        </w:trPr>
        <w:tc>
          <w:tcPr>
            <w:tcW w:w="1440" w:type="dxa"/>
            <w:tcBorders/>
          </w:tcPr>
          <w:p>
            <w:pPr>
              <w:pStyle w:val="Normal"/>
              <w:widowControl w:val="false"/>
              <w:ind w:left="2160" w:hanging="2160"/>
              <w:jc w:val="both"/>
              <w:rPr>
                <w:rFonts w:ascii="Arial Narrow" w:hAnsi="Arial Narrow"/>
                <w:b/>
                <w:b/>
                <w:sz w:val="22"/>
                <w:szCs w:val="22"/>
              </w:rPr>
            </w:pPr>
            <w:r>
              <w:rPr>
                <w:rFonts w:ascii="Arial Narrow" w:hAnsi="Arial Narrow"/>
                <w:b/>
                <w:sz w:val="22"/>
                <w:szCs w:val="22"/>
              </w:rPr>
            </w:r>
          </w:p>
        </w:tc>
        <w:tc>
          <w:tcPr>
            <w:tcW w:w="1168" w:type="dxa"/>
            <w:tcBorders/>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$148,811.12</w:t>
            </w:r>
          </w:p>
        </w:tc>
        <w:tc>
          <w:tcPr>
            <w:tcW w:w="2612" w:type="dxa"/>
            <w:tcBorders/>
            <w:vAlign w:val="bottom"/>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$12,400.93</w:t>
            </w:r>
          </w:p>
        </w:tc>
        <w:tc>
          <w:tcPr>
            <w:tcW w:w="726" w:type="dxa"/>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$13.99</w:t>
            </w:r>
          </w:p>
        </w:tc>
        <w:tc>
          <w:tcPr>
            <w:tcW w:w="2113" w:type="dxa"/>
            <w:gridSpan w:val="2"/>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February 1</w:t>
            </w:r>
            <w:r>
              <w:rPr>
                <w:rFonts w:ascii="Arial Narrow" w:hAnsi="Arial Narrow"/>
                <w:color w:val="383A42"/>
                <w:sz w:val="22"/>
                <w:szCs w:val="22"/>
              </w:rPr>
              <w:t>,</w:t>
            </w:r>
            <w:r>
              <w:rPr>
                <w:rFonts w:ascii="Arial Narrow" w:hAnsi="Arial Narrow"/>
                <w:sz w:val="22"/>
                <w:szCs w:val="22"/>
              </w:rPr>
              <w:t xml:space="preserve"> 2036</w:t>
            </w:r>
          </w:p>
        </w:tc>
        <w:tc>
          <w:tcPr>
            <w:tcW w:w="1359" w:type="dxa"/>
            <w:tcBorders/>
          </w:tcPr>
          <w:p>
            <w:pPr>
              <w:pStyle w:val="Normal"/>
              <w:widowControl w:val="false"/>
              <w:rPr/>
            </w:pPr>
            <w:r>
              <w:rPr/>
            </w:r>
          </w:p>
        </w:tc>
      </w:tr>
      <w:tr>
        <w:trPr>
          <w:trHeight w:val="207" w:hRule="atLeast"/>
        </w:trPr>
        <w:tc>
          <w:tcPr>
            <w:tcW w:w="1440" w:type="dxa"/>
            <w:tcBorders/>
          </w:tcPr>
          <w:p>
            <w:pPr>
              <w:pStyle w:val="Normal"/>
              <w:widowControl w:val="false"/>
              <w:ind w:left="2160" w:hanging="2160"/>
              <w:jc w:val="both"/>
              <w:rPr>
                <w:rFonts w:ascii="Arial Narrow" w:hAnsi="Arial Narrow"/>
                <w:b/>
                <w:b/>
                <w:sz w:val="22"/>
                <w:szCs w:val="22"/>
              </w:rPr>
            </w:pPr>
            <w:r>
              <w:rPr>
                <w:rFonts w:ascii="Arial Narrow" w:hAnsi="Arial Narrow"/>
                <w:b/>
                <w:sz w:val="22"/>
                <w:szCs w:val="22"/>
              </w:rPr>
            </w:r>
          </w:p>
        </w:tc>
        <w:tc>
          <w:tcPr>
            <w:tcW w:w="1168" w:type="dxa"/>
            <w:tcBorders/>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$163,692.23</w:t>
            </w:r>
          </w:p>
        </w:tc>
        <w:tc>
          <w:tcPr>
            <w:tcW w:w="2612" w:type="dxa"/>
            <w:tcBorders/>
            <w:vAlign w:val="bottom"/>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$13,641.02</w:t>
            </w:r>
          </w:p>
        </w:tc>
        <w:tc>
          <w:tcPr>
            <w:tcW w:w="726" w:type="dxa"/>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$15.39</w:t>
            </w:r>
          </w:p>
        </w:tc>
        <w:tc>
          <w:tcPr>
            <w:tcW w:w="2113" w:type="dxa"/>
            <w:gridSpan w:val="2"/>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February 1</w:t>
            </w:r>
            <w:r>
              <w:rPr>
                <w:rFonts w:ascii="Arial Narrow" w:hAnsi="Arial Narrow"/>
                <w:color w:val="383A42"/>
                <w:sz w:val="22"/>
                <w:szCs w:val="22"/>
              </w:rPr>
              <w:t>,</w:t>
            </w:r>
            <w:r>
              <w:rPr>
                <w:rFonts w:ascii="Arial Narrow" w:hAnsi="Arial Narrow"/>
                <w:sz w:val="22"/>
                <w:szCs w:val="22"/>
              </w:rPr>
              <w:t xml:space="preserve"> 2041</w:t>
            </w:r>
          </w:p>
        </w:tc>
        <w:tc>
          <w:tcPr>
            <w:tcW w:w="1359" w:type="dxa"/>
            <w:tcBorders/>
          </w:tcPr>
          <w:p>
            <w:pPr>
              <w:pStyle w:val="Normal"/>
              <w:widowControl w:val="false"/>
              <w:rPr/>
            </w:pPr>
            <w:r>
              <w:rPr/>
            </w:r>
          </w:p>
        </w:tc>
      </w:tr>
      <w:tr>
        <w:trPr>
          <w:trHeight w:val="319" w:hRule="atLeast"/>
        </w:trPr>
        <w:tc>
          <w:tcPr>
            <w:tcW w:w="1440" w:type="dxa"/>
            <w:tcBorders/>
          </w:tcPr>
          <w:p>
            <w:pPr>
              <w:pStyle w:val="Normal"/>
              <w:widowControl w:val="false"/>
              <w:ind w:left="2160" w:hanging="2160"/>
              <w:jc w:val="both"/>
              <w:rPr>
                <w:rFonts w:ascii="Arial Narrow" w:hAnsi="Arial Narrow"/>
                <w:b/>
                <w:b/>
                <w:sz w:val="22"/>
                <w:szCs w:val="22"/>
              </w:rPr>
            </w:pPr>
            <w:r>
              <w:rPr>
                <w:rFonts w:ascii="Arial Narrow" w:hAnsi="Arial Narrow"/>
                <w:b/>
                <w:sz w:val="22"/>
                <w:szCs w:val="22"/>
              </w:rPr>
            </w:r>
          </w:p>
        </w:tc>
        <w:tc>
          <w:tcPr>
            <w:tcW w:w="1168" w:type="dxa"/>
            <w:tcBorders/>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$180,061.45</w:t>
            </w:r>
          </w:p>
        </w:tc>
        <w:tc>
          <w:tcPr>
            <w:tcW w:w="2612" w:type="dxa"/>
            <w:tcBorders/>
            <w:vAlign w:val="bottom"/>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$15,005.12</w:t>
            </w:r>
          </w:p>
        </w:tc>
        <w:tc>
          <w:tcPr>
            <w:tcW w:w="726" w:type="dxa"/>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$16.92</w:t>
            </w:r>
          </w:p>
        </w:tc>
        <w:tc>
          <w:tcPr>
            <w:tcW w:w="2113" w:type="dxa"/>
            <w:gridSpan w:val="2"/>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February 1</w:t>
            </w:r>
            <w:r>
              <w:rPr>
                <w:rFonts w:ascii="Arial Narrow" w:hAnsi="Arial Narrow"/>
                <w:color w:val="383A42"/>
                <w:sz w:val="22"/>
                <w:szCs w:val="22"/>
              </w:rPr>
              <w:t>,</w:t>
            </w:r>
            <w:r>
              <w:rPr>
                <w:rFonts w:ascii="Arial Narrow" w:hAnsi="Arial Narrow"/>
                <w:sz w:val="22"/>
                <w:szCs w:val="22"/>
              </w:rPr>
              <w:t xml:space="preserve"> 2046</w:t>
            </w:r>
          </w:p>
        </w:tc>
        <w:tc>
          <w:tcPr>
            <w:tcW w:w="1359" w:type="dxa"/>
            <w:tcBorders/>
          </w:tcPr>
          <w:p>
            <w:pPr>
              <w:pStyle w:val="Normal"/>
              <w:widowControl w:val="false"/>
              <w:rPr/>
            </w:pPr>
            <w:r>
              <w:rPr/>
            </w:r>
          </w:p>
        </w:tc>
      </w:tr>
    </w:tbl>
    <w:p>
      <w:pPr>
        <w:pStyle w:val="Normal"/>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Options:</w:t>
        <w:tab/>
        <w:t>Three (3) five-year options through January 31, 2051. Requires 180 days prior written notice.</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Use:</w:t>
        <w:tab/>
      </w:r>
      <w:r>
        <w:rPr>
          <w:rFonts w:ascii="Arial Narrow" w:hAnsi="Arial Narrow"/>
          <w:b/>
          <w:bCs/>
          <w:sz w:val="22"/>
          <w:szCs w:val="22"/>
        </w:rPr>
        <w:t>Sit-down Italian restaurant serving alcoholic beverages</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Exclusive Use:</w:t>
        <w:tab/>
      </w:r>
      <w:r>
        <w:rPr>
          <w:rFonts w:ascii="Arial Narrow" w:hAnsi="Arial Narrow"/>
          <w:b/>
          <w:bCs/>
          <w:sz w:val="22"/>
          <w:szCs w:val="22"/>
        </w:rPr>
        <w:t>Landlord cannot lease to Italian food restaurant with similar concept for 16 years from commencement (or until use change)"</w:t>
      </w:r>
    </w:p>
    <w:p>
      <w:pPr>
        <w:pStyle w:val="Normal"/>
        <w:ind w:left="2160" w:hanging="2160"/>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Percentage Rent:</w:t>
      </w:r>
      <w:r>
        <w:rPr>
          <w:rFonts w:ascii="Arial Narrow" w:hAnsi="Arial Narrow"/>
          <w:sz w:val="22"/>
          <w:szCs w:val="22"/>
        </w:rPr>
        <w:t xml:space="preserve"> </w:t>
        <w:tab/>
      </w:r>
      <w:r>
        <w:rPr>
          <w:rFonts w:ascii="Arial Narrow" w:hAnsi="Arial Narrow"/>
          <w:b/>
          <w:sz w:val="22"/>
          <w:szCs w:val="22"/>
        </w:rPr>
        <w:t>2% of Gross Sales during each Lease Year or Partial Lease Year that exceeds the aggregate Minimum Monthly Rent for such period</w:t>
      </w:r>
    </w:p>
    <w:p>
      <w:pPr>
        <w:pStyle w:val="Normal"/>
        <w:ind w:left="2160" w:hanging="2160"/>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Gross Sales:</w:t>
        <w:tab/>
        <w:t>The sale prices of all goods, wares and merchandise sold and the charges for all services performed by Tenant or any other person or entity in, at, or from the Premises for cash, credit or otherwise, without reserve or deduction for uncollected amounts</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Financials Statements:</w:t>
        <w:tab/>
      </w:r>
      <w:r>
        <w:rPr>
          <w:rFonts w:ascii="Arial Narrow" w:hAnsi="Arial Narrow"/>
          <w:bCs/>
          <w:sz w:val="22"/>
          <w:szCs w:val="22"/>
        </w:rPr>
        <w:t xml:space="preserve"> Tenant shall deliver a written statement showing Gross Sales made in each calendar month not later than the 20th day after the close of that month, and a statement of Gross Sales for each Lease Year or Partial Lease Year within 60 days after the end of that period, certified by an officer of Tenant. If Tenant fails to comply, Landlord may employ a certified public accountant to examine Tenant's records at Tenant's expense. Tenant must preserve all original books and records related to Gross Sales for at least 3 years. If an audit reveals a liability for Percentage Rent 3% or more in excess of what was paid, Tenant must promptly pay the deficiency and the cost of the audit.</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CAM:</w:t>
        <w:tab/>
        <w:t>"5.33% of Landlord's Common Area Costs plus 10% management fee. Payments begin February 1, 2026. Tenant has annual audit rights."</w:t>
      </w:r>
    </w:p>
    <w:p>
      <w:pPr>
        <w:pStyle w:val="Normal"/>
        <w:ind w:left="2160" w:hanging="0"/>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Real Estate Taxes:</w:t>
        <w:tab/>
        <w:t>Tenant indemnifies Landlord for all liability from Tenant's operations (except Landlord negligence)</w:t>
      </w:r>
    </w:p>
    <w:p>
      <w:pPr>
        <w:pStyle w:val="Normal"/>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Liabilities:</w:t>
        <w:tab/>
      </w:r>
      <w:r>
        <w:rPr>
          <w:rFonts w:ascii="Arial Narrow" w:hAnsi="Arial Narrow"/>
          <w:b/>
          <w:bCs/>
          <w:sz w:val="22"/>
          <w:szCs w:val="22"/>
        </w:rPr>
        <w:t xml:space="preserve">Tenant indemnifies Landlord for all liability from Tenant's operations (except Landlord negligence) </w:t>
      </w:r>
      <w:r>
        <w:rPr>
          <w:rFonts w:ascii="Arial Narrow" w:hAnsi="Arial Narrow"/>
          <w:b/>
          <w:bCs/>
          <w:color w:val="383A42"/>
          <w:sz w:val="22"/>
          <w:szCs w:val="22"/>
        </w:rPr>
        <w:t>,,</w:t>
      </w:r>
    </w:p>
    <w:p>
      <w:pPr>
        <w:pStyle w:val="Normal"/>
        <w:ind w:left="2160" w:hanging="2160"/>
        <w:jc w:val="both"/>
        <w:rPr>
          <w:rFonts w:ascii="Arial Narrow" w:hAnsi="Arial Narrow"/>
          <w:bCs/>
          <w:sz w:val="22"/>
          <w:szCs w:val="22"/>
        </w:rPr>
      </w:pPr>
      <w:r>
        <w:rPr>
          <w:rFonts w:ascii="Arial Narrow" w:hAnsi="Arial Narrow"/>
          <w:bCs/>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Utilities:</w:t>
        <w:tab/>
      </w:r>
      <w:r>
        <w:rPr>
          <w:rFonts w:ascii="Arial Narrow" w:hAnsi="Arial Narrow"/>
          <w:b/>
          <w:bCs/>
          <w:sz w:val="22"/>
          <w:szCs w:val="22"/>
        </w:rPr>
        <w:t>Tenant pays all utilities (electric</w:t>
      </w:r>
      <w:r>
        <w:rPr>
          <w:rFonts w:ascii="Arial Narrow" w:hAnsi="Arial Narrow"/>
          <w:b/>
          <w:bCs/>
          <w:color w:val="383A42"/>
          <w:sz w:val="22"/>
          <w:szCs w:val="22"/>
        </w:rPr>
        <w:t>,</w:t>
      </w:r>
      <w:r>
        <w:rPr>
          <w:rFonts w:ascii="Arial Narrow" w:hAnsi="Arial Narrow"/>
          <w:b/>
          <w:bCs/>
          <w:sz w:val="22"/>
          <w:szCs w:val="22"/>
        </w:rPr>
        <w:t xml:space="preserve"> water</w:t>
      </w:r>
      <w:r>
        <w:rPr>
          <w:rFonts w:ascii="Arial Narrow" w:hAnsi="Arial Narrow"/>
          <w:b/>
          <w:bCs/>
          <w:color w:val="383A42"/>
          <w:sz w:val="22"/>
          <w:szCs w:val="22"/>
        </w:rPr>
        <w:t>,</w:t>
      </w:r>
      <w:r>
        <w:rPr>
          <w:rFonts w:ascii="Arial Narrow" w:hAnsi="Arial Narrow"/>
          <w:b/>
          <w:bCs/>
          <w:sz w:val="22"/>
          <w:szCs w:val="22"/>
        </w:rPr>
        <w:t xml:space="preserve"> sewer</w:t>
      </w:r>
      <w:r>
        <w:rPr>
          <w:rFonts w:ascii="Arial Narrow" w:hAnsi="Arial Narrow"/>
          <w:b/>
          <w:bCs/>
          <w:color w:val="383A42"/>
          <w:sz w:val="22"/>
          <w:szCs w:val="22"/>
        </w:rPr>
        <w:t>,</w:t>
      </w:r>
      <w:r>
        <w:rPr>
          <w:rFonts w:ascii="Arial Narrow" w:hAnsi="Arial Narrow"/>
          <w:b/>
          <w:bCs/>
          <w:sz w:val="22"/>
          <w:szCs w:val="22"/>
        </w:rPr>
        <w:t xml:space="preserve"> gas)</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Relocation:</w:t>
        <w:tab/>
      </w:r>
      <w:r>
        <w:rPr>
          <w:rFonts w:ascii="Arial Narrow" w:hAnsi="Arial Narrow"/>
          <w:b/>
          <w:bCs/>
          <w:sz w:val="22"/>
          <w:szCs w:val="22"/>
        </w:rPr>
        <w:t>No available data</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Termination Right:</w:t>
        <w:tab/>
      </w:r>
      <w:r>
        <w:rPr>
          <w:rFonts w:ascii="Arial Narrow" w:hAnsi="Arial Narrow"/>
          <w:b/>
          <w:bCs/>
          <w:sz w:val="22"/>
          <w:szCs w:val="22"/>
        </w:rPr>
        <w:t>Only if &gt;50% destroyed by casualty in last 3 years of term (must notify within 30 days)"</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Recapture/Go Dark:</w:t>
        <w:tab/>
        <w:t>"Prohibited. Must continuously operate with full staff and stock. Non-compliance results in 50% rent increase."</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sz w:val="22"/>
          <w:szCs w:val="22"/>
        </w:rPr>
      </w:pPr>
      <w:r>
        <w:rPr>
          <w:rFonts w:ascii="Arial Narrow" w:hAnsi="Arial Narrow"/>
          <w:b/>
          <w:sz w:val="22"/>
          <w:szCs w:val="22"/>
        </w:rPr>
        <w:t>Co-Tenancy:</w:t>
        <w:tab/>
        <w:t>None</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Radius:</w:t>
        <w:tab/>
      </w:r>
      <w:r>
        <w:rPr>
          <w:rFonts w:ascii="Arial Narrow" w:hAnsi="Arial Narrow"/>
          <w:bCs/>
          <w:sz w:val="22"/>
          <w:szCs w:val="22"/>
        </w:rPr>
        <w:t xml:space="preserve"> 2 miles (previously for percentage rent calculation, now moot)</w:t>
      </w:r>
    </w:p>
    <w:p>
      <w:pPr>
        <w:pStyle w:val="Normal"/>
        <w:ind w:left="2160" w:hanging="2160"/>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 xml:space="preserve">Estoppel: </w:t>
        <w:tab/>
      </w:r>
      <w:r>
        <w:rPr>
          <w:rFonts w:ascii="Arial Narrow" w:hAnsi="Arial Narrow"/>
          <w:b/>
          <w:bCs/>
          <w:sz w:val="22"/>
          <w:szCs w:val="22"/>
        </w:rPr>
        <w:t>Required within 10 days of Landlord's written request</w:t>
      </w:r>
    </w:p>
    <w:p>
      <w:pPr>
        <w:pStyle w:val="Normal"/>
        <w:ind w:left="2160" w:hanging="2160"/>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Security Deposit:</w:t>
        <w:tab/>
        <w:t>None</w:t>
      </w:r>
    </w:p>
    <w:p>
      <w:pPr>
        <w:pStyle w:val="Normal"/>
        <w:ind w:left="2160" w:hanging="2160"/>
        <w:jc w:val="both"/>
        <w:rPr>
          <w:rFonts w:ascii="Arial Narrow" w:hAnsi="Arial Narrow"/>
          <w:b/>
          <w:b/>
          <w:sz w:val="22"/>
          <w:szCs w:val="22"/>
        </w:rPr>
      </w:pPr>
      <w:r>
        <w:rPr/>
      </w:r>
    </w:p>
    <w:sectPr>
      <w:headerReference w:type="default" r:id="rId2"/>
      <w:footerReference w:type="default" r:id="rId3"/>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roman"/>
    <w:pitch w:val="variable"/>
  </w:font>
  <w:font w:name="Arial Narrow">
    <w:charset w:val="01"/>
    <w:family w:val="roman"/>
    <w:pitch w:val="variable"/>
  </w:font>
  <w:font w:name="Steelfis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
        <w:i/>
        <w:i/>
        <w:sz w:val="24"/>
        <w:szCs w:val="24"/>
      </w:rPr>
    </w:pPr>
    <w:r>
      <w:rPr>
        <w:b/>
        <w:i/>
        <w:sz w:val="24"/>
        <w:szCs w:val="24"/>
      </w:rPr>
    </w:r>
  </w:p>
  <w:p>
    <w:pPr>
      <w:pStyle w:val="Header"/>
      <w:pBdr>
        <w:bottom w:val="single" w:sz="4" w:space="1" w:color="000000"/>
      </w:pBdr>
      <w:rPr>
        <w:b/>
        <w:b/>
        <w:i/>
        <w:i/>
        <w:sz w:val="2"/>
        <w:szCs w:val="2"/>
      </w:rPr>
    </w:pPr>
    <w:r>
      <w:rPr>
        <w:b/>
        <w:i/>
        <w:sz w:val="2"/>
        <w:szCs w:val="2"/>
      </w:rPr>
    </w:r>
  </w:p>
  <w:p>
    <w:pPr>
      <w:pStyle w:val="Footer"/>
      <w:jc w:val="right"/>
      <w:rPr/>
    </w:pPr>
    <w:r>
      <w:rPr/>
      <w:drawing>
        <wp:inline distT="0" distB="0" distL="0" distR="0">
          <wp:extent cx="1752600" cy="495300"/>
          <wp:effectExtent l="0" t="0" r="0" b="0"/>
          <wp:docPr id="1" name="Picture 1" descr="CORPORATION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RPORATION small"/>
                  <pic:cNvPicPr>
                    <a:picLocks noChangeAspect="1" noChangeArrowheads="1"/>
                  </pic:cNvPicPr>
                </pic:nvPicPr>
                <pic:blipFill>
                  <a:blip r:embed="rId1"/>
                  <a:stretch>
                    <a:fillRect/>
                  </a:stretch>
                </pic:blipFill>
                <pic:spPr bwMode="auto">
                  <a:xfrm>
                    <a:off x="0" y="0"/>
                    <a:ext cx="1752600" cy="495300"/>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s>
      <w:rPr>
        <w:rFonts w:ascii="Steelfish" w:hAnsi="Steelfish"/>
        <w:b/>
        <w:b/>
        <w:i/>
        <w:i/>
        <w:sz w:val="36"/>
        <w:szCs w:val="48"/>
      </w:rPr>
    </w:pPr>
    <w:r>
      <w:rPr>
        <w:rFonts w:ascii="Steelfish" w:hAnsi="Steelfish"/>
        <w:b/>
        <w:i/>
        <w:sz w:val="36"/>
        <w:szCs w:val="48"/>
      </w:rPr>
      <w:t>LEASE ABSTRACT</w:t>
    </w:r>
  </w:p>
  <w:p>
    <w:pPr>
      <w:pStyle w:val="Header"/>
      <w:pBdr>
        <w:bottom w:val="single" w:sz="4" w:space="1" w:color="000000"/>
      </w:pBdr>
      <w:rPr>
        <w:rFonts w:ascii="Steelfish" w:hAnsi="Steelfish"/>
        <w:b/>
        <w:b/>
        <w:i/>
        <w:i/>
        <w:sz w:val="2"/>
        <w:szCs w:val="2"/>
      </w:rPr>
    </w:pPr>
    <w:r>
      <w:rPr>
        <w:rFonts w:ascii="Steelfish" w:hAnsi="Steelfish"/>
        <w:b/>
        <w:i/>
        <w:sz w:val="2"/>
        <w:szCs w:val="2"/>
      </w:rPr>
    </w:r>
  </w:p>
  <w:p>
    <w:pPr>
      <w:pStyle w:val="Header"/>
      <w:rPr>
        <w:rFonts w:ascii="Steelfish" w:hAnsi="Steelfish"/>
        <w:b/>
        <w:b/>
        <w:i/>
        <w:i/>
        <w:sz w:val="24"/>
        <w:szCs w:val="24"/>
      </w:rPr>
    </w:pPr>
    <w:r>
      <w:rPr>
        <w:rFonts w:ascii="Steelfish" w:hAnsi="Steelfish"/>
        <w:b/>
        <w:i/>
        <w:sz w:val="24"/>
        <w:szCs w:val="24"/>
      </w:rPr>
    </w:r>
  </w:p>
</w:hdr>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1f89"/>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sid w:val="00f21f89"/>
    <w:rPr>
      <w:rFonts w:ascii="Times New Roman" w:hAnsi="Times New Roman" w:eastAsia="Times New Roman" w:cs="Times New Roman"/>
      <w:sz w:val="20"/>
      <w:szCs w:val="20"/>
    </w:rPr>
  </w:style>
  <w:style w:type="character" w:styleId="FooterChar" w:customStyle="1">
    <w:name w:val="Footer Char"/>
    <w:basedOn w:val="DefaultParagraphFont"/>
    <w:link w:val="Footer"/>
    <w:qFormat/>
    <w:rsid w:val="00f21f89"/>
    <w:rPr>
      <w:rFonts w:ascii="Times New Roman" w:hAnsi="Times New Roman" w:eastAsia="Times New Roman" w:cs="Times New Roman"/>
      <w:sz w:val="20"/>
      <w:szCs w:val="20"/>
    </w:rPr>
  </w:style>
  <w:style w:type="character" w:styleId="BalloonTextChar" w:customStyle="1">
    <w:name w:val="Balloon Text Char"/>
    <w:basedOn w:val="DefaultParagraphFont"/>
    <w:link w:val="BalloonText"/>
    <w:uiPriority w:val="99"/>
    <w:semiHidden/>
    <w:qFormat/>
    <w:rsid w:val="00941f2c"/>
    <w:rPr>
      <w:rFonts w:ascii="Tahoma" w:hAnsi="Tahoma" w:eastAsia="Times New Roman" w:cs="Tahoma"/>
      <w:sz w:val="16"/>
      <w:szCs w:val="16"/>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HeaderandFooter">
    <w:name w:val="Header and Footer"/>
    <w:basedOn w:val="Normal"/>
    <w:qFormat/>
    <w:pPr/>
    <w:rPr/>
  </w:style>
  <w:style w:type="paragraph" w:styleId="Header">
    <w:name w:val="Header"/>
    <w:basedOn w:val="Normal"/>
    <w:link w:val="HeaderChar"/>
    <w:rsid w:val="00f21f89"/>
    <w:pPr>
      <w:tabs>
        <w:tab w:val="clear" w:pos="720"/>
        <w:tab w:val="center" w:pos="4320" w:leader="none"/>
        <w:tab w:val="right" w:pos="8640" w:leader="none"/>
      </w:tabs>
    </w:pPr>
    <w:rPr/>
  </w:style>
  <w:style w:type="paragraph" w:styleId="Footer">
    <w:name w:val="Footer"/>
    <w:basedOn w:val="Normal"/>
    <w:link w:val="FooterChar"/>
    <w:rsid w:val="00f21f89"/>
    <w:pPr>
      <w:tabs>
        <w:tab w:val="clear" w:pos="720"/>
        <w:tab w:val="center" w:pos="4320" w:leader="none"/>
        <w:tab w:val="right" w:pos="8640" w:leader="none"/>
      </w:tabs>
    </w:pPr>
    <w:rPr/>
  </w:style>
  <w:style w:type="paragraph" w:styleId="BalloonText">
    <w:name w:val="Balloon Text"/>
    <w:basedOn w:val="Normal"/>
    <w:link w:val="BalloonTextChar"/>
    <w:uiPriority w:val="99"/>
    <w:semiHidden/>
    <w:unhideWhenUsed/>
    <w:qFormat/>
    <w:rsid w:val="00941f2c"/>
    <w:pPr/>
    <w:rPr>
      <w:rFonts w:ascii="Tahoma" w:hAnsi="Tahoma" w:cs="Tahoma"/>
      <w:sz w:val="16"/>
      <w:szCs w:val="16"/>
    </w:rPr>
  </w:style>
  <w:style w:type="paragraph" w:styleId="NoSpacing">
    <w:name w:val="No Spacing"/>
    <w:uiPriority w:val="1"/>
    <w:qFormat/>
    <w:rsid w:val="00d81322"/>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b31e86"/>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44AAF044E5174BBAB2E9FA7DA8B901" ma:contentTypeVersion="15" ma:contentTypeDescription="Create a new document." ma:contentTypeScope="" ma:versionID="b39e7a8a184d120d3ddaf254f614bb1f">
  <xsd:schema xmlns:xsd="http://www.w3.org/2001/XMLSchema" xmlns:xs="http://www.w3.org/2001/XMLSchema" xmlns:p="http://schemas.microsoft.com/office/2006/metadata/properties" xmlns:ns2="f295f4e7-370d-43ea-8ad8-fa2c8b62b3f7" xmlns:ns3="2e2d93c0-05ca-4acf-8071-5328f6f16a3a" targetNamespace="http://schemas.microsoft.com/office/2006/metadata/properties" ma:root="true" ma:fieldsID="7a3716b7c056cfb34f76e6e55ed70df7" ns2:_="" ns3:_="">
    <xsd:import namespace="f295f4e7-370d-43ea-8ad8-fa2c8b62b3f7"/>
    <xsd:import namespace="2e2d93c0-05ca-4acf-8071-5328f6f16a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5f4e7-370d-43ea-8ad8-fa2c8b62b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ce9d40d-3763-4984-a656-386d6ad474d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2d93c0-05ca-4acf-8071-5328f6f16a3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077eec8-0cf1-48f9-b8a3-0acc91ece6ab}" ma:internalName="TaxCatchAll" ma:showField="CatchAllData" ma:web="2e2d93c0-05ca-4acf-8071-5328f6f16a3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e2d93c0-05ca-4acf-8071-5328f6f16a3a" xsi:nil="true"/>
    <lcf76f155ced4ddcb4097134ff3c332f xmlns="f295f4e7-370d-43ea-8ad8-fa2c8b62b3f7">
      <Terms xmlns="http://schemas.microsoft.com/office/infopath/2007/PartnerControls"/>
    </lcf76f155ced4ddcb4097134ff3c332f>
    <MediaLengthInSeconds xmlns="f295f4e7-370d-43ea-8ad8-fa2c8b62b3f7" xsi:nil="true"/>
    <SharedWithUsers xmlns="2e2d93c0-05ca-4acf-8071-5328f6f16a3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D39087-671F-4E7F-816E-3D0AE1C0D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5f4e7-370d-43ea-8ad8-fa2c8b62b3f7"/>
    <ds:schemaRef ds:uri="2e2d93c0-05ca-4acf-8071-5328f6f16a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7DC6A-96D2-4129-B003-59D6DD46B4D1}">
  <ds:schemaRefs>
    <ds:schemaRef ds:uri="http://purl.org/dc/dcmitype/"/>
    <ds:schemaRef ds:uri="http://schemas.microsoft.com/office/infopath/2007/PartnerControls"/>
    <ds:schemaRef ds:uri="http://purl.org/dc/elements/1.1/"/>
    <ds:schemaRef ds:uri="2e2d93c0-05ca-4acf-8071-5328f6f16a3a"/>
    <ds:schemaRef ds:uri="http://schemas.openxmlformats.org/package/2006/metadata/core-properties"/>
    <ds:schemaRef ds:uri="http://purl.org/dc/terms/"/>
    <ds:schemaRef ds:uri="http://schemas.microsoft.com/office/2006/documentManagement/types"/>
    <ds:schemaRef ds:uri="f295f4e7-370d-43ea-8ad8-fa2c8b62b3f7"/>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2B3C5100-8EDB-4B35-891D-AF93BE5661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DocxEditor/3.0.0.2$MacOSX_AARCH64 LibreOffice_project/e114eadc50a9ff8d8c8a0567d6da8f454beeb84f</Application>
  <AppVersion>15.0000</AppVersion>
  <Pages>2</Pages>
  <Words>460</Words>
  <Characters>2552</Characters>
  <CharactersWithSpaces>2967</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2025-10-22T14:23:00Z</dcterms:created>
  <dc:creator>Emily Dutson</dc:creator>
  <dc:description/>
  <dc:language>en-US</dc:language>
  <cp:lastModifiedBy/>
  <dcterms:modified xsi:type="dcterms:W3CDTF">2025-10-31T19:39:31Z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0x010100FF44AAF044E5174BBAB2E9FA7DA8B901</vt:lpwstr>
  </property>
  <property fmtid="{D5CDD505-2E9C-101B-9397-08002B2CF9AE}" pid="4" name="MediaServiceImageTags">
    <vt:lpwstr/>
  </property>
  <property fmtid="{D5CDD505-2E9C-101B-9397-08002B2CF9AE}" pid="5" name="Order">
    <vt:r8>434200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0</vt:bool>
  </property>
</Properties>
</file>