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settings.xml" ContentType="application/vnd.openxmlformats-officedocument.wordprocessingml.setting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Arial Narrow" w:hAnsi="Arial Narrow"/>
          <w:b/>
          <w:b/>
          <w:sz w:val="32"/>
          <w:szCs w:val="32"/>
        </w:rPr>
      </w:pPr>
      <w:r>
        <w:rPr>
          <w:rFonts w:ascii="Arial Narrow" w:hAnsi="Arial Narrow"/>
          <w:b/>
          <w:sz w:val="32"/>
          <w:szCs w:val="32"/>
        </w:rPr>
        <w:t>TENANT NAME</w:t>
      </w:r>
    </w:p>
    <w:p>
      <w:pPr>
        <w:pStyle w:val="Normal"/>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sz w:val="22"/>
          <w:szCs w:val="22"/>
        </w:rPr>
      </w:pPr>
      <w:r>
        <w:rPr>
          <w:rFonts w:ascii="Arial Narrow" w:hAnsi="Arial Narrow"/>
          <w:b/>
          <w:sz w:val="22"/>
          <w:szCs w:val="22"/>
        </w:rPr>
        <w:t>Tenant:</w:t>
        <w:tab/>
      </w:r>
      <w:r>
        <w:rPr>
          <w:rFonts w:ascii="Arial Narrow" w:hAnsi="Arial Narrow"/>
          <w:b w:val="false"/>
          <w:bCs w:val="false"/>
          <w:sz w:val="22"/>
          <w:szCs w:val="22"/>
        </w:rPr>
        <w:t>Sunflower Bank, N.A. (successor to First National Bank and Trust Company of Salina)</w:t>
      </w:r>
      <w:r>
        <w:rPr>
          <w:rFonts w:ascii="Arial Narrow" w:hAnsi="Arial Narrow"/>
          <w:b/>
          <w:sz w:val="22"/>
          <w:szCs w:val="22"/>
        </w:rPr>
        <w:tab/>
      </w:r>
    </w:p>
    <w:p>
      <w:pPr>
        <w:pStyle w:val="Normal"/>
        <w:ind w:left="2160" w:hanging="2160"/>
        <w:jc w:val="both"/>
        <w:rPr>
          <w:rFonts w:ascii="Arial Narrow" w:hAnsi="Arial Narrow"/>
          <w:sz w:val="22"/>
          <w:szCs w:val="22"/>
        </w:rPr>
      </w:pPr>
      <w:r>
        <w:rPr>
          <w:rFonts w:ascii="Arial Narrow" w:hAnsi="Arial Narrow"/>
          <w:sz w:val="22"/>
          <w:szCs w:val="22"/>
        </w:rPr>
        <w:tab/>
      </w:r>
    </w:p>
    <w:p>
      <w:pPr>
        <w:pStyle w:val="Normal"/>
        <w:ind w:left="2160" w:hanging="2160"/>
        <w:jc w:val="both"/>
        <w:rPr>
          <w:rFonts w:ascii="Arial Narrow" w:hAnsi="Arial Narrow"/>
          <w:bCs/>
          <w:sz w:val="22"/>
          <w:szCs w:val="22"/>
        </w:rPr>
      </w:pPr>
      <w:r>
        <w:rPr>
          <w:rFonts w:ascii="Arial Narrow" w:hAnsi="Arial Narrow"/>
          <w:b/>
          <w:sz w:val="22"/>
          <w:szCs w:val="22"/>
        </w:rPr>
        <w:t>Documents:</w:t>
        <w:tab/>
      </w:r>
      <w:r>
        <w:rPr>
          <w:rFonts w:ascii="Arial Narrow" w:hAnsi="Arial Narrow"/>
          <w:b w:val="false"/>
          <w:bCs w:val="false"/>
          <w:sz w:val="22"/>
          <w:szCs w:val="22"/>
        </w:rPr>
        <w:t xml:space="preserve">1. Original Lease Agreement dated July 31, 1972; </w:t>
      </w:r>
    </w:p>
    <w:p>
      <w:pPr>
        <w:pStyle w:val="Normal"/>
        <w:ind w:left="2160" w:hanging="2160"/>
        <w:jc w:val="both"/>
        <w:rPr>
          <w:b w:val="false"/>
          <w:b w:val="false"/>
          <w:bCs w:val="false"/>
        </w:rPr>
      </w:pPr>
      <w:r>
        <w:rPr>
          <w:rFonts w:ascii="Arial Narrow" w:hAnsi="Arial Narrow"/>
          <w:b w:val="false"/>
          <w:bCs w:val="false"/>
          <w:sz w:val="22"/>
          <w:szCs w:val="22"/>
        </w:rPr>
        <w:tab/>
        <w:t>2. First Amendment to Lease dated September 24, 1973;</w:t>
      </w:r>
    </w:p>
    <w:p>
      <w:pPr>
        <w:pStyle w:val="Normal"/>
        <w:ind w:left="2160" w:hanging="2160"/>
        <w:jc w:val="both"/>
        <w:rPr>
          <w:b w:val="false"/>
          <w:b w:val="false"/>
          <w:bCs w:val="false"/>
        </w:rPr>
      </w:pPr>
      <w:r>
        <w:rPr>
          <w:rFonts w:ascii="Arial Narrow" w:hAnsi="Arial Narrow"/>
          <w:b w:val="false"/>
          <w:bCs w:val="false"/>
          <w:sz w:val="22"/>
          <w:szCs w:val="22"/>
        </w:rPr>
        <w:tab/>
        <w:t>3. Second Amendment to Lease dated June 19, 1975;</w:t>
      </w:r>
    </w:p>
    <w:p>
      <w:pPr>
        <w:pStyle w:val="Normal"/>
        <w:ind w:left="2160" w:hanging="2160"/>
        <w:jc w:val="both"/>
        <w:rPr>
          <w:b w:val="false"/>
          <w:b w:val="false"/>
          <w:bCs w:val="false"/>
        </w:rPr>
      </w:pPr>
      <w:r>
        <w:rPr>
          <w:rFonts w:ascii="Arial Narrow" w:hAnsi="Arial Narrow"/>
          <w:b w:val="false"/>
          <w:bCs w:val="false"/>
          <w:sz w:val="22"/>
          <w:szCs w:val="22"/>
        </w:rPr>
        <w:tab/>
        <w:t>4. Third Amendment to Lease dated December 23, 1997;</w:t>
      </w:r>
    </w:p>
    <w:p>
      <w:pPr>
        <w:pStyle w:val="Normal"/>
        <w:ind w:left="2160" w:hanging="2160"/>
        <w:jc w:val="both"/>
        <w:rPr>
          <w:b/>
          <w:b/>
          <w:bCs/>
        </w:rPr>
      </w:pPr>
      <w:r>
        <w:rPr>
          <w:rFonts w:ascii="Arial Narrow" w:hAnsi="Arial Narrow"/>
          <w:b w:val="false"/>
          <w:bCs w:val="false"/>
          <w:sz w:val="22"/>
          <w:szCs w:val="22"/>
        </w:rPr>
        <w:tab/>
        <w:t>5. Fourth Amendment to Lease dated July 20, 2023; 6. Short Form Lease recorded October 1973.</w:t>
      </w:r>
      <w:r>
        <w:rPr>
          <w:rFonts w:ascii="Arial Narrow" w:hAnsi="Arial Narrow"/>
          <w:b/>
          <w:bCs/>
          <w:sz w:val="22"/>
          <w:szCs w:val="22"/>
        </w:rPr>
        <w:tab/>
      </w:r>
    </w:p>
    <w:p>
      <w:pPr>
        <w:pStyle w:val="Normal"/>
        <w:ind w:left="2160" w:hanging="2160"/>
        <w:jc w:val="both"/>
        <w:rPr>
          <w:rFonts w:ascii="Arial Narrow" w:hAnsi="Arial Narrow"/>
          <w:bCs/>
          <w:sz w:val="22"/>
          <w:szCs w:val="22"/>
        </w:rPr>
      </w:pPr>
      <w:r>
        <w:rPr>
          <w:rFonts w:ascii="Arial Narrow" w:hAnsi="Arial Narrow"/>
          <w:bCs/>
          <w:sz w:val="22"/>
          <w:szCs w:val="22"/>
        </w:rPr>
        <w:tab/>
      </w:r>
    </w:p>
    <w:p>
      <w:pPr>
        <w:pStyle w:val="Normal"/>
        <w:ind w:left="2160" w:hanging="2160"/>
        <w:jc w:val="both"/>
        <w:rPr>
          <w:rFonts w:ascii="Arial Narrow" w:hAnsi="Arial Narrow"/>
          <w:sz w:val="22"/>
          <w:szCs w:val="22"/>
        </w:rPr>
      </w:pPr>
      <w:r>
        <w:rPr>
          <w:rFonts w:ascii="Arial Narrow" w:hAnsi="Arial Narrow"/>
          <w:b/>
          <w:sz w:val="22"/>
          <w:szCs w:val="22"/>
        </w:rPr>
        <w:t xml:space="preserve">Guarantor: </w:t>
        <w:tab/>
      </w:r>
      <w:r>
        <w:rPr>
          <w:rFonts w:ascii="Arial Narrow" w:hAnsi="Arial Narrow"/>
          <w:b w:val="false"/>
          <w:bCs w:val="false"/>
          <w:sz w:val="22"/>
          <w:szCs w:val="22"/>
        </w:rPr>
        <w:t>Not Available</w:t>
      </w:r>
    </w:p>
    <w:p>
      <w:pPr>
        <w:pStyle w:val="Normal"/>
        <w:ind w:left="2160" w:hanging="2160"/>
        <w:jc w:val="both"/>
        <w:rPr>
          <w:rFonts w:ascii="Arial Narrow" w:hAnsi="Arial Narrow"/>
          <w:sz w:val="22"/>
          <w:szCs w:val="22"/>
        </w:rPr>
      </w:pPr>
      <w:r>
        <w:rPr>
          <w:rFonts w:ascii="Arial Narrow" w:hAnsi="Arial Narrow"/>
          <w:b/>
          <w:sz w:val="22"/>
          <w:szCs w:val="22"/>
        </w:rPr>
        <w:tab/>
      </w:r>
    </w:p>
    <w:p>
      <w:pPr>
        <w:pStyle w:val="Normal"/>
        <w:ind w:left="2160" w:hanging="2160"/>
        <w:jc w:val="both"/>
        <w:rPr>
          <w:rFonts w:ascii="Arial Narrow" w:hAnsi="Arial Narrow"/>
          <w:sz w:val="22"/>
          <w:szCs w:val="22"/>
        </w:rPr>
      </w:pPr>
      <w:r>
        <w:rPr>
          <w:rFonts w:ascii="Arial Narrow" w:hAnsi="Arial Narrow"/>
          <w:b/>
          <w:sz w:val="22"/>
          <w:szCs w:val="22"/>
        </w:rPr>
        <w:t>Square Feet:</w:t>
      </w:r>
      <w:r>
        <w:rPr>
          <w:rFonts w:ascii="Arial Narrow" w:hAnsi="Arial Narrow"/>
          <w:sz w:val="22"/>
          <w:szCs w:val="22"/>
        </w:rPr>
        <w:tab/>
        <w:t>2,871.4 sq. ft.</w:t>
      </w:r>
    </w:p>
    <w:p>
      <w:pPr>
        <w:pStyle w:val="Normal"/>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Pro Rata Share:</w:t>
        <w:tab/>
      </w:r>
      <w:r>
        <w:rPr>
          <w:rFonts w:ascii="Arial Narrow" w:hAnsi="Arial Narrow"/>
          <w:b w:val="false"/>
          <w:bCs w:val="false"/>
          <w:sz w:val="22"/>
          <w:szCs w:val="22"/>
        </w:rPr>
        <w:t>Not Available</w:t>
      </w:r>
    </w:p>
    <w:p>
      <w:pPr>
        <w:pStyle w:val="Normal"/>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sz w:val="22"/>
          <w:szCs w:val="22"/>
        </w:rPr>
      </w:pPr>
      <w:r>
        <w:rPr>
          <w:rFonts w:ascii="Arial Narrow" w:hAnsi="Arial Narrow"/>
          <w:b/>
          <w:sz w:val="22"/>
          <w:szCs w:val="22"/>
        </w:rPr>
        <w:t>Term:</w:t>
      </w:r>
      <w:r>
        <w:rPr>
          <w:rFonts w:ascii="Arial Narrow" w:hAnsi="Arial Narrow"/>
          <w:sz w:val="22"/>
          <w:szCs w:val="22"/>
        </w:rPr>
        <w:t xml:space="preserve"> August 1, 1973 – July 31, 2033 (50-year original term + 10-year extension</w:t>
      </w:r>
      <w:r>
        <w:rPr>
          <w:rFonts w:ascii="Arial Narrow" w:hAnsi="Arial Narrow"/>
          <w:sz w:val="22"/>
          <w:szCs w:val="22"/>
        </w:rPr>
        <w:t>)</w:t>
      </w:r>
      <w:r>
        <w:rPr>
          <w:rFonts w:ascii="Arial Narrow" w:hAnsi="Arial Narrow"/>
          <w:sz w:val="22"/>
          <w:szCs w:val="22"/>
        </w:rPr>
        <w:tab/>
      </w:r>
    </w:p>
    <w:p>
      <w:pPr>
        <w:pStyle w:val="Normal"/>
        <w:jc w:val="both"/>
        <w:rPr>
          <w:rFonts w:ascii="Arial Narrow" w:hAnsi="Arial Narrow"/>
          <w:sz w:val="22"/>
          <w:szCs w:val="22"/>
        </w:rPr>
      </w:pPr>
      <w:r>
        <w:rPr>
          <w:rFonts w:ascii="Arial Narrow" w:hAnsi="Arial Narrow"/>
          <w:sz w:val="22"/>
          <w:szCs w:val="22"/>
        </w:rPr>
      </w:r>
    </w:p>
    <w:tbl>
      <w:tblPr>
        <w:tblpPr w:bottomFromText="0" w:horzAnchor="text" w:leftFromText="180" w:rightFromText="180" w:tblpX="0" w:tblpY="1" w:topFromText="0" w:vertAnchor="text"/>
        <w:tblW w:w="9419" w:type="dxa"/>
        <w:jc w:val="left"/>
        <w:tblInd w:w="0" w:type="dxa"/>
        <w:tblLayout w:type="fixed"/>
        <w:tblCellMar>
          <w:top w:w="0" w:type="dxa"/>
          <w:left w:w="108" w:type="dxa"/>
          <w:bottom w:w="0" w:type="dxa"/>
          <w:right w:w="108" w:type="dxa"/>
        </w:tblCellMar>
        <w:tblLook w:val="0000" w:noVBand="0" w:noHBand="0" w:lastColumn="0" w:firstColumn="0" w:lastRow="0" w:firstRow="0"/>
      </w:tblPr>
      <w:tblGrid>
        <w:gridCol w:w="1440"/>
        <w:gridCol w:w="1168"/>
        <w:gridCol w:w="2612"/>
        <w:gridCol w:w="726"/>
        <w:gridCol w:w="1359"/>
        <w:gridCol w:w="754"/>
        <w:gridCol w:w="1359"/>
      </w:tblGrid>
      <w:tr>
        <w:trPr>
          <w:trHeight w:val="207" w:hRule="atLeast"/>
        </w:trPr>
        <w:tc>
          <w:tcPr>
            <w:tcW w:w="1440" w:type="dxa"/>
            <w:tcBorders/>
          </w:tcPr>
          <w:p>
            <w:pPr>
              <w:pStyle w:val="Normal"/>
              <w:widowControl w:val="false"/>
              <w:ind w:left="2160" w:hanging="2160"/>
              <w:jc w:val="both"/>
              <w:rPr>
                <w:rFonts w:ascii="Arial Narrow" w:hAnsi="Arial Narrow"/>
                <w:b/>
                <w:b/>
                <w:sz w:val="22"/>
                <w:szCs w:val="22"/>
              </w:rPr>
            </w:pPr>
            <w:r>
              <w:rPr>
                <w:rFonts w:ascii="Arial Narrow" w:hAnsi="Arial Narrow"/>
                <w:b/>
                <w:sz w:val="22"/>
                <w:szCs w:val="22"/>
              </w:rPr>
              <w:t>Rent:</w:t>
            </w:r>
          </w:p>
        </w:tc>
        <w:tc>
          <w:tcPr>
            <w:tcW w:w="1168" w:type="dxa"/>
            <w:tcBorders/>
          </w:tcPr>
          <w:p>
            <w:pPr>
              <w:pStyle w:val="Normal"/>
              <w:widowControl w:val="false"/>
              <w:ind w:left="2160" w:right="-108" w:hanging="2160"/>
              <w:jc w:val="center"/>
              <w:rPr>
                <w:rFonts w:ascii="Arial Narrow" w:hAnsi="Arial Narrow"/>
                <w:sz w:val="22"/>
                <w:szCs w:val="22"/>
                <w:u w:val="single"/>
              </w:rPr>
            </w:pPr>
            <w:r>
              <w:rPr>
                <w:rFonts w:ascii="Arial Narrow" w:hAnsi="Arial Narrow"/>
                <w:sz w:val="22"/>
                <w:szCs w:val="22"/>
                <w:u w:val="single"/>
              </w:rPr>
            </w:r>
          </w:p>
        </w:tc>
        <w:tc>
          <w:tcPr>
            <w:tcW w:w="2612" w:type="dxa"/>
            <w:tcBorders/>
          </w:tcPr>
          <w:p>
            <w:pPr>
              <w:pStyle w:val="Normal"/>
              <w:widowControl w:val="false"/>
              <w:ind w:left="2160" w:right="-108" w:hanging="2160"/>
              <w:jc w:val="center"/>
              <w:rPr>
                <w:rFonts w:ascii="Arial Narrow" w:hAnsi="Arial Narrow"/>
                <w:sz w:val="22"/>
                <w:szCs w:val="22"/>
                <w:u w:val="single"/>
              </w:rPr>
            </w:pPr>
            <w:r>
              <w:rPr>
                <w:rFonts w:ascii="Arial Narrow" w:hAnsi="Arial Narrow"/>
                <w:sz w:val="22"/>
                <w:szCs w:val="22"/>
                <w:u w:val="single"/>
              </w:rPr>
            </w:r>
          </w:p>
        </w:tc>
        <w:tc>
          <w:tcPr>
            <w:tcW w:w="726" w:type="dxa"/>
            <w:tcBorders/>
          </w:tcPr>
          <w:p>
            <w:pPr>
              <w:pStyle w:val="Normal"/>
              <w:widowControl w:val="false"/>
              <w:ind w:left="2160" w:right="-106" w:hanging="2160"/>
              <w:jc w:val="center"/>
              <w:rPr>
                <w:rFonts w:ascii="Arial Narrow" w:hAnsi="Arial Narrow"/>
                <w:sz w:val="22"/>
                <w:szCs w:val="22"/>
                <w:u w:val="single"/>
              </w:rPr>
            </w:pPr>
            <w:r>
              <w:rPr>
                <w:rFonts w:ascii="Arial Narrow" w:hAnsi="Arial Narrow"/>
                <w:sz w:val="22"/>
                <w:szCs w:val="22"/>
                <w:u w:val="single"/>
              </w:rPr>
            </w:r>
          </w:p>
        </w:tc>
        <w:tc>
          <w:tcPr>
            <w:tcW w:w="1359" w:type="dxa"/>
            <w:tcBorders/>
          </w:tcPr>
          <w:p>
            <w:pPr>
              <w:pStyle w:val="Normal"/>
              <w:widowControl w:val="false"/>
              <w:ind w:left="2160" w:right="-106" w:hanging="2160"/>
              <w:jc w:val="center"/>
              <w:rPr>
                <w:rFonts w:ascii="Arial Narrow" w:hAnsi="Arial Narrow"/>
                <w:sz w:val="22"/>
                <w:szCs w:val="22"/>
                <w:u w:val="single"/>
              </w:rPr>
            </w:pPr>
            <w:r>
              <w:rPr>
                <w:rFonts w:ascii="Arial Narrow" w:hAnsi="Arial Narrow"/>
                <w:sz w:val="22"/>
                <w:szCs w:val="22"/>
                <w:u w:val="single"/>
              </w:rPr>
            </w:r>
          </w:p>
        </w:tc>
        <w:tc>
          <w:tcPr>
            <w:tcW w:w="2113" w:type="dxa"/>
            <w:gridSpan w:val="2"/>
            <w:tcBorders/>
          </w:tcPr>
          <w:p>
            <w:pPr>
              <w:pStyle w:val="Normal"/>
              <w:widowControl w:val="false"/>
              <w:ind w:left="2160" w:right="-106" w:hanging="2160"/>
              <w:jc w:val="center"/>
              <w:rPr>
                <w:rFonts w:ascii="Arial Narrow" w:hAnsi="Arial Narrow"/>
                <w:sz w:val="22"/>
                <w:szCs w:val="22"/>
                <w:u w:val="single"/>
              </w:rPr>
            </w:pPr>
            <w:r>
              <w:rPr>
                <w:rFonts w:ascii="Arial Narrow" w:hAnsi="Arial Narrow"/>
                <w:sz w:val="22"/>
                <w:szCs w:val="22"/>
                <w:u w:val="single"/>
              </w:rPr>
            </w:r>
          </w:p>
        </w:tc>
      </w:tr>
      <w:tr>
        <w:trPr>
          <w:trHeight w:val="207" w:hRule="atLeast"/>
        </w:trPr>
        <w:tc>
          <w:tcPr>
            <w:tcW w:w="1440" w:type="dxa"/>
            <w:tcBorders/>
          </w:tcPr>
          <w:p>
            <w:pPr>
              <w:pStyle w:val="Normal"/>
              <w:widowControl w:val="false"/>
              <w:ind w:left="2160" w:hanging="2160"/>
              <w:jc w:val="both"/>
              <w:rPr>
                <w:rFonts w:ascii="Arial Narrow" w:hAnsi="Arial Narrow"/>
                <w:b/>
                <w:b/>
                <w:sz w:val="22"/>
                <w:szCs w:val="22"/>
              </w:rPr>
            </w:pPr>
            <w:r>
              <w:rPr>
                <w:rFonts w:ascii="Arial Narrow" w:hAnsi="Arial Narrow"/>
                <w:b/>
                <w:sz w:val="22"/>
                <w:szCs w:val="22"/>
              </w:rPr>
            </w:r>
          </w:p>
        </w:tc>
        <w:tc>
          <w:tcPr>
            <w:tcW w:w="1168" w:type="dxa"/>
            <w:tcBorders/>
          </w:tcPr>
          <w:p>
            <w:pPr>
              <w:pStyle w:val="Normal"/>
              <w:widowControl w:val="false"/>
              <w:ind w:left="2160" w:right="-108" w:hanging="2160"/>
              <w:jc w:val="center"/>
              <w:rPr>
                <w:rFonts w:ascii="Arial Narrow" w:hAnsi="Arial Narrow"/>
                <w:sz w:val="22"/>
                <w:szCs w:val="22"/>
                <w:u w:val="single"/>
              </w:rPr>
            </w:pPr>
            <w:r>
              <w:rPr>
                <w:rFonts w:ascii="Arial Narrow" w:hAnsi="Arial Narrow"/>
                <w:sz w:val="22"/>
                <w:szCs w:val="22"/>
                <w:u w:val="single"/>
              </w:rPr>
              <w:t>Annual</w:t>
            </w:r>
          </w:p>
        </w:tc>
        <w:tc>
          <w:tcPr>
            <w:tcW w:w="2612" w:type="dxa"/>
            <w:tcBorders/>
          </w:tcPr>
          <w:p>
            <w:pPr>
              <w:pStyle w:val="Normal"/>
              <w:widowControl w:val="false"/>
              <w:ind w:left="2160" w:right="-108" w:hanging="2160"/>
              <w:jc w:val="center"/>
              <w:rPr>
                <w:rFonts w:ascii="Arial Narrow" w:hAnsi="Arial Narrow"/>
                <w:sz w:val="22"/>
                <w:szCs w:val="22"/>
                <w:u w:val="single"/>
              </w:rPr>
            </w:pPr>
            <w:r>
              <w:rPr>
                <w:rFonts w:ascii="Arial Narrow" w:hAnsi="Arial Narrow"/>
                <w:sz w:val="22"/>
                <w:szCs w:val="22"/>
                <w:u w:val="single"/>
              </w:rPr>
              <w:t>Monthly</w:t>
            </w:r>
          </w:p>
        </w:tc>
        <w:tc>
          <w:tcPr>
            <w:tcW w:w="726" w:type="dxa"/>
            <w:tcBorders/>
          </w:tcPr>
          <w:p>
            <w:pPr>
              <w:pStyle w:val="Normal"/>
              <w:widowControl w:val="false"/>
              <w:ind w:left="2160" w:right="-106" w:hanging="2160"/>
              <w:jc w:val="center"/>
              <w:rPr>
                <w:rFonts w:ascii="Arial Narrow" w:hAnsi="Arial Narrow"/>
                <w:sz w:val="22"/>
                <w:szCs w:val="22"/>
                <w:u w:val="single"/>
              </w:rPr>
            </w:pPr>
            <w:r>
              <w:rPr>
                <w:rFonts w:ascii="Arial Narrow" w:hAnsi="Arial Narrow"/>
                <w:sz w:val="22"/>
                <w:szCs w:val="22"/>
                <w:u w:val="single"/>
              </w:rPr>
              <w:t>PSF</w:t>
            </w:r>
          </w:p>
        </w:tc>
        <w:tc>
          <w:tcPr>
            <w:tcW w:w="2113" w:type="dxa"/>
            <w:gridSpan w:val="2"/>
            <w:tcBorders/>
          </w:tcPr>
          <w:p>
            <w:pPr>
              <w:pStyle w:val="Normal"/>
              <w:widowControl w:val="false"/>
              <w:ind w:left="2160" w:right="-106" w:hanging="2160"/>
              <w:jc w:val="center"/>
              <w:rPr>
                <w:rFonts w:ascii="Arial Narrow" w:hAnsi="Arial Narrow"/>
                <w:sz w:val="22"/>
                <w:szCs w:val="22"/>
                <w:u w:val="single"/>
              </w:rPr>
            </w:pPr>
            <w:r>
              <w:rPr>
                <w:rFonts w:ascii="Arial Narrow" w:hAnsi="Arial Narrow"/>
                <w:sz w:val="22"/>
                <w:szCs w:val="22"/>
                <w:u w:val="single"/>
              </w:rPr>
              <w:t>Step-Up Date</w:t>
            </w:r>
          </w:p>
        </w:tc>
        <w:tc>
          <w:tcPr>
            <w:tcW w:w="1359" w:type="dxa"/>
            <w:tcBorders/>
          </w:tcPr>
          <w:p>
            <w:pPr>
              <w:pStyle w:val="Normal"/>
              <w:widowControl w:val="false"/>
              <w:rPr/>
            </w:pPr>
            <w:r>
              <w:rPr/>
            </w:r>
          </w:p>
        </w:tc>
      </w:tr>
      <w:tr>
        <w:trPr>
          <w:trHeight w:val="207" w:hRule="atLeast"/>
        </w:trPr>
        <w:tc>
          <w:tcPr>
            <w:tcW w:w="1440" w:type="dxa"/>
            <w:tcBorders/>
          </w:tcPr>
          <w:p>
            <w:pPr>
              <w:pStyle w:val="Normal"/>
              <w:widowControl w:val="false"/>
              <w:ind w:left="2160" w:hanging="2160"/>
              <w:jc w:val="both"/>
              <w:rPr>
                <w:rFonts w:ascii="Arial Narrow" w:hAnsi="Arial Narrow"/>
                <w:b/>
                <w:b/>
                <w:sz w:val="22"/>
                <w:szCs w:val="22"/>
              </w:rPr>
            </w:pPr>
            <w:r>
              <w:rPr>
                <w:rFonts w:ascii="Arial Narrow" w:hAnsi="Arial Narrow"/>
                <w:b/>
                <w:sz w:val="22"/>
                <w:szCs w:val="22"/>
              </w:rPr>
            </w:r>
          </w:p>
        </w:tc>
        <w:tc>
          <w:tcPr>
            <w:tcW w:w="1168" w:type="dxa"/>
            <w:tcBorders/>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$134,090.00</w:t>
            </w:r>
          </w:p>
        </w:tc>
        <w:tc>
          <w:tcPr>
            <w:tcW w:w="2612" w:type="dxa"/>
            <w:tcBorders/>
            <w:vAlign w:val="bottom"/>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$11,174.17</w:t>
            </w:r>
          </w:p>
        </w:tc>
        <w:tc>
          <w:tcPr>
            <w:tcW w:w="726" w:type="dxa"/>
            <w:tcBorders/>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$22.00</w:t>
            </w:r>
          </w:p>
        </w:tc>
        <w:tc>
          <w:tcPr>
            <w:tcW w:w="2113" w:type="dxa"/>
            <w:gridSpan w:val="2"/>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August 1, 2023</w:t>
            </w:r>
          </w:p>
        </w:tc>
        <w:tc>
          <w:tcPr>
            <w:tcW w:w="1359" w:type="dxa"/>
            <w:tcBorders/>
          </w:tcPr>
          <w:p>
            <w:pPr>
              <w:pStyle w:val="Normal"/>
              <w:widowControl w:val="false"/>
              <w:rPr/>
            </w:pPr>
            <w:r>
              <w:rPr/>
            </w:r>
          </w:p>
        </w:tc>
      </w:tr>
      <w:tr>
        <w:trPr>
          <w:trHeight w:val="207" w:hRule="atLeast"/>
        </w:trPr>
        <w:tc>
          <w:tcPr>
            <w:tcW w:w="1440" w:type="dxa"/>
            <w:tcBorders/>
          </w:tcPr>
          <w:p>
            <w:pPr>
              <w:pStyle w:val="Normal"/>
              <w:widowControl w:val="false"/>
              <w:ind w:left="2160" w:hanging="2160"/>
              <w:jc w:val="both"/>
              <w:rPr>
                <w:rFonts w:ascii="Arial Narrow" w:hAnsi="Arial Narrow"/>
                <w:b/>
                <w:b/>
                <w:sz w:val="22"/>
                <w:szCs w:val="22"/>
              </w:rPr>
            </w:pPr>
            <w:r>
              <w:rPr>
                <w:rFonts w:ascii="Arial Narrow" w:hAnsi="Arial Narrow"/>
                <w:b/>
                <w:sz w:val="22"/>
                <w:szCs w:val="22"/>
              </w:rPr>
            </w:r>
          </w:p>
        </w:tc>
        <w:tc>
          <w:tcPr>
            <w:tcW w:w="1168" w:type="dxa"/>
            <w:tcBorders/>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$146,280.00</w:t>
            </w:r>
          </w:p>
        </w:tc>
        <w:tc>
          <w:tcPr>
            <w:tcW w:w="2612" w:type="dxa"/>
            <w:tcBorders/>
            <w:vAlign w:val="bottom"/>
          </w:tcPr>
          <w:p>
            <w:pPr>
              <w:pStyle w:val="Normal"/>
              <w:widowControl w:val="false"/>
              <w:ind w:left="2160" w:right="-108" w:hanging="2160"/>
              <w:jc w:val="center"/>
              <w:rPr>
                <w:rFonts w:ascii="Arial Narrow" w:hAnsi="Arial Narrow"/>
                <w:sz w:val="22"/>
                <w:szCs w:val="22"/>
              </w:rPr>
            </w:pPr>
            <w:r>
              <w:rPr>
                <w:rFonts w:ascii="Arial Narrow" w:hAnsi="Arial Narrow"/>
                <w:sz w:val="22"/>
                <w:szCs w:val="22"/>
              </w:rPr>
              <w:t>$12,190.00</w:t>
            </w:r>
          </w:p>
        </w:tc>
        <w:tc>
          <w:tcPr>
            <w:tcW w:w="726" w:type="dxa"/>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$24.00</w:t>
            </w:r>
          </w:p>
        </w:tc>
        <w:tc>
          <w:tcPr>
            <w:tcW w:w="2113" w:type="dxa"/>
            <w:gridSpan w:val="2"/>
            <w:tcBorders/>
          </w:tcPr>
          <w:p>
            <w:pPr>
              <w:pStyle w:val="Normal"/>
              <w:widowControl w:val="false"/>
              <w:ind w:left="2160" w:right="-106" w:hanging="2160"/>
              <w:jc w:val="center"/>
              <w:rPr>
                <w:rFonts w:ascii="Arial Narrow" w:hAnsi="Arial Narrow"/>
                <w:sz w:val="22"/>
                <w:szCs w:val="22"/>
              </w:rPr>
            </w:pPr>
            <w:r>
              <w:rPr>
                <w:rFonts w:ascii="Arial Narrow" w:hAnsi="Arial Narrow"/>
                <w:sz w:val="22"/>
                <w:szCs w:val="22"/>
              </w:rPr>
              <w:t>August 1, 2028</w:t>
            </w:r>
          </w:p>
        </w:tc>
        <w:tc>
          <w:tcPr>
            <w:tcW w:w="1359" w:type="dxa"/>
            <w:tcBorders/>
          </w:tcPr>
          <w:p>
            <w:pPr>
              <w:pStyle w:val="Normal"/>
              <w:widowControl w:val="false"/>
              <w:rPr/>
            </w:pPr>
            <w:r>
              <w:rPr/>
            </w:r>
          </w:p>
        </w:tc>
      </w:tr>
    </w:tbl>
    <w:p>
      <w:pPr>
        <w:pStyle w:val="Normal"/>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Options:</w:t>
        <w:tab/>
      </w:r>
      <w:r>
        <w:rPr>
          <w:rFonts w:ascii="Arial Narrow" w:hAnsi="Arial Narrow"/>
          <w:b w:val="false"/>
          <w:bCs w:val="false"/>
          <w:sz w:val="22"/>
          <w:szCs w:val="22"/>
        </w:rPr>
        <w:t xml:space="preserve">1. Right to Terminate at 20th and 40th anniversaries with 2 years' notice; </w:t>
      </w:r>
    </w:p>
    <w:p>
      <w:pPr>
        <w:pStyle w:val="Normal"/>
        <w:ind w:left="2160" w:hanging="2160"/>
        <w:jc w:val="both"/>
        <w:rPr>
          <w:b w:val="false"/>
          <w:b w:val="false"/>
          <w:bCs w:val="false"/>
        </w:rPr>
      </w:pPr>
      <w:r>
        <w:rPr>
          <w:rFonts w:ascii="Arial Narrow" w:hAnsi="Arial Narrow"/>
          <w:b w:val="false"/>
          <w:bCs w:val="false"/>
          <w:sz w:val="22"/>
          <w:szCs w:val="22"/>
        </w:rPr>
        <w:tab/>
        <w:t>2. Removal of Improvements allowed with restoration and bond;</w:t>
      </w:r>
    </w:p>
    <w:p>
      <w:pPr>
        <w:pStyle w:val="Normal"/>
        <w:ind w:left="2160" w:hanging="2160"/>
        <w:jc w:val="both"/>
        <w:rPr>
          <w:b w:val="false"/>
          <w:b w:val="false"/>
          <w:bCs w:val="false"/>
        </w:rPr>
      </w:pPr>
      <w:r>
        <w:rPr>
          <w:rFonts w:ascii="Arial Narrow" w:hAnsi="Arial Narrow"/>
          <w:b w:val="false"/>
          <w:bCs w:val="false"/>
          <w:sz w:val="22"/>
          <w:szCs w:val="22"/>
        </w:rPr>
        <w:tab/>
        <w:t>3. Assignment/Subletting allowed with Lessor consent;</w:t>
      </w:r>
    </w:p>
    <w:p>
      <w:pPr>
        <w:pStyle w:val="Normal"/>
        <w:ind w:left="2160" w:hanging="2160"/>
        <w:jc w:val="both"/>
        <w:rPr>
          <w:b w:val="false"/>
          <w:b w:val="false"/>
          <w:bCs w:val="false"/>
        </w:rPr>
      </w:pPr>
      <w:r>
        <w:rPr>
          <w:rFonts w:ascii="Arial Narrow" w:hAnsi="Arial Narrow"/>
          <w:b w:val="false"/>
          <w:bCs w:val="false"/>
          <w:sz w:val="22"/>
          <w:szCs w:val="22"/>
        </w:rPr>
        <w:tab/>
        <w:t>4. Indemnification option;</w:t>
      </w:r>
    </w:p>
    <w:p>
      <w:pPr>
        <w:pStyle w:val="Normal"/>
        <w:ind w:left="2160" w:hanging="2160"/>
        <w:jc w:val="both"/>
        <w:rPr>
          <w:b w:val="false"/>
          <w:b w:val="false"/>
          <w:bCs w:val="false"/>
        </w:rPr>
      </w:pPr>
      <w:r>
        <w:rPr>
          <w:rFonts w:ascii="Arial Narrow" w:hAnsi="Arial Narrow"/>
          <w:b w:val="false"/>
          <w:bCs w:val="false"/>
          <w:sz w:val="22"/>
          <w:szCs w:val="22"/>
        </w:rPr>
        <w:tab/>
        <w:t>5. Bona Fide Dispute clause;</w:t>
      </w:r>
    </w:p>
    <w:p>
      <w:pPr>
        <w:pStyle w:val="Normal"/>
        <w:ind w:left="2160" w:hanging="2160"/>
        <w:jc w:val="both"/>
        <w:rPr>
          <w:b w:val="false"/>
          <w:b w:val="false"/>
          <w:bCs w:val="false"/>
        </w:rPr>
      </w:pPr>
      <w:r>
        <w:rPr>
          <w:rFonts w:ascii="Arial Narrow" w:hAnsi="Arial Narrow"/>
          <w:b w:val="false"/>
          <w:bCs w:val="false"/>
          <w:sz w:val="22"/>
          <w:szCs w:val="22"/>
        </w:rPr>
        <w:tab/>
        <w:t>6. Insurance requirements;</w:t>
      </w:r>
    </w:p>
    <w:p>
      <w:pPr>
        <w:pStyle w:val="Normal"/>
        <w:ind w:left="2160" w:hanging="2160"/>
        <w:jc w:val="both"/>
        <w:rPr>
          <w:b w:val="false"/>
          <w:b w:val="false"/>
          <w:bCs w:val="false"/>
        </w:rPr>
      </w:pPr>
      <w:r>
        <w:rPr>
          <w:rFonts w:ascii="Arial Narrow" w:hAnsi="Arial Narrow"/>
          <w:b w:val="false"/>
          <w:bCs w:val="false"/>
          <w:sz w:val="22"/>
          <w:szCs w:val="22"/>
        </w:rPr>
        <w:tab/>
        <w:t>7. Notice provisions.</w:t>
        <w:tab/>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 xml:space="preserve">Use: </w:t>
      </w:r>
      <w:r>
        <w:rPr>
          <w:rFonts w:ascii="Arial Narrow" w:hAnsi="Arial Narrow"/>
          <w:b w:val="false"/>
          <w:bCs w:val="false"/>
          <w:sz w:val="22"/>
          <w:szCs w:val="22"/>
        </w:rPr>
        <w:t>Banking purposes, including full-service bank and drive-up operations.</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 xml:space="preserve">Exclusive Use: </w:t>
        <w:tab/>
      </w:r>
      <w:r>
        <w:rPr>
          <w:rFonts w:ascii="Arial Narrow" w:hAnsi="Arial Narrow"/>
          <w:b w:val="false"/>
          <w:bCs w:val="false"/>
          <w:sz w:val="22"/>
          <w:szCs w:val="22"/>
        </w:rPr>
        <w:t>Tenant has exclusive right for banking use; landlord prohibited from leasing to competing financial institutions.</w:t>
      </w:r>
    </w:p>
    <w:p>
      <w:pPr>
        <w:pStyle w:val="Normal"/>
        <w:ind w:left="2160" w:hanging="2160"/>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Percentage Rent:</w:t>
      </w:r>
      <w:r>
        <w:rPr>
          <w:rFonts w:ascii="Arial Narrow" w:hAnsi="Arial Narrow"/>
          <w:sz w:val="22"/>
          <w:szCs w:val="22"/>
        </w:rPr>
        <w:t xml:space="preserve"> </w:t>
      </w:r>
      <w:r>
        <w:rPr>
          <w:rFonts w:ascii="Arial Narrow" w:hAnsi="Arial Narrow"/>
          <w:sz w:val="22"/>
          <w:szCs w:val="22"/>
        </w:rPr>
        <w:t>62.5</w:t>
      </w:r>
      <w:r>
        <w:rPr>
          <w:rFonts w:ascii="Arial Narrow" w:hAnsi="Arial Narrow"/>
          <w:sz w:val="22"/>
          <w:szCs w:val="22"/>
        </w:rPr>
        <w:tab/>
      </w:r>
    </w:p>
    <w:p>
      <w:pPr>
        <w:pStyle w:val="Normal"/>
        <w:ind w:left="2160" w:hanging="2160"/>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 xml:space="preserve">Gross Sales: </w:t>
      </w:r>
      <w:r>
        <w:rPr>
          <w:rFonts w:ascii="Arial Narrow" w:hAnsi="Arial Narrow"/>
          <w:b w:val="false"/>
          <w:bCs w:val="false"/>
          <w:sz w:val="22"/>
          <w:szCs w:val="22"/>
        </w:rPr>
        <w:t>Sixty-two and one-half (62.5) times the fixed annual rent</w:t>
      </w:r>
      <w:r>
        <w:rPr>
          <w:rFonts w:ascii="Arial Narrow" w:hAnsi="Arial Narrow"/>
          <w:b/>
          <w:sz w:val="22"/>
          <w:szCs w:val="22"/>
        </w:rPr>
        <w:tab/>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Financials Statements:</w:t>
        <w:tab/>
      </w:r>
      <w:r>
        <w:rPr>
          <w:rFonts w:ascii="Arial Narrow" w:hAnsi="Arial Narrow"/>
          <w:bCs/>
          <w:sz w:val="22"/>
          <w:szCs w:val="22"/>
        </w:rPr>
        <w:t xml:space="preserve"> </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 xml:space="preserve">CAM: </w:t>
      </w:r>
      <w:r>
        <w:rPr>
          <w:rFonts w:ascii="Arial Narrow" w:hAnsi="Arial Narrow"/>
          <w:b w:val="false"/>
          <w:bCs w:val="false"/>
          <w:sz w:val="22"/>
          <w:szCs w:val="22"/>
        </w:rPr>
        <w:t>Not applicable – ground lease; tenant maintains its own parcel.</w:t>
        <w:tab/>
      </w:r>
    </w:p>
    <w:p>
      <w:pPr>
        <w:pStyle w:val="Normal"/>
        <w:ind w:left="2160" w:hanging="0"/>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Real Estate Taxes:</w:t>
        <w:tab/>
      </w:r>
      <w:r>
        <w:rPr>
          <w:rFonts w:ascii="Arial Narrow" w:hAnsi="Arial Narrow"/>
          <w:b w:val="false"/>
          <w:bCs w:val="false"/>
          <w:sz w:val="22"/>
          <w:szCs w:val="22"/>
        </w:rPr>
        <w:t>Tenant pays all property taxes directly.Lessee pays all general taxes during lease term, prorated to rent commencement and end.</w:t>
      </w:r>
    </w:p>
    <w:p>
      <w:pPr>
        <w:pStyle w:val="Normal"/>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 xml:space="preserve">Liabilities: </w:t>
      </w:r>
      <w:r>
        <w:rPr>
          <w:rFonts w:ascii="Arial Narrow" w:hAnsi="Arial Narrow"/>
          <w:b/>
          <w:sz w:val="22"/>
          <w:szCs w:val="22"/>
        </w:rPr>
        <w:tab/>
      </w:r>
      <w:r>
        <w:rPr>
          <w:rFonts w:ascii="Arial Narrow" w:hAnsi="Arial Narrow"/>
          <w:b w:val="false"/>
          <w:bCs w:val="false"/>
          <w:sz w:val="22"/>
          <w:szCs w:val="22"/>
        </w:rPr>
        <w:t>Tenant responsible for all site obligations including rent, taxes, insurance, maintenance, and indemnification of landlord.</w:t>
        <w:tab/>
      </w:r>
    </w:p>
    <w:p>
      <w:pPr>
        <w:pStyle w:val="Normal"/>
        <w:ind w:left="2160" w:hanging="2160"/>
        <w:jc w:val="both"/>
        <w:rPr>
          <w:rFonts w:ascii="Arial Narrow" w:hAnsi="Arial Narrow"/>
          <w:bCs/>
          <w:sz w:val="22"/>
          <w:szCs w:val="22"/>
        </w:rPr>
      </w:pPr>
      <w:r>
        <w:rPr>
          <w:rFonts w:ascii="Arial Narrow" w:hAnsi="Arial Narrow"/>
          <w:bCs/>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Utilities:</w:t>
        <w:tab/>
      </w:r>
      <w:r>
        <w:rPr>
          <w:rFonts w:ascii="Arial Narrow" w:hAnsi="Arial Narrow"/>
          <w:b w:val="false"/>
          <w:bCs w:val="false"/>
          <w:sz w:val="22"/>
          <w:szCs w:val="22"/>
        </w:rPr>
        <w:t>Tenant responsible for all utilities servicing the premises.</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Relocation:</w:t>
        <w:tab/>
      </w:r>
      <w:r>
        <w:rPr>
          <w:rFonts w:ascii="Arial Narrow" w:hAnsi="Arial Narrow"/>
          <w:b w:val="false"/>
          <w:bCs w:val="false"/>
          <w:sz w:val="22"/>
          <w:szCs w:val="22"/>
        </w:rPr>
        <w:t>Lessee may remove, replace, or reconstruct improvements on the leased premises with landlord approval under Article XII of the original lease. Additionally, under the Third Amendment (1997), Lessee has the right to relocate its pylon sign to a mutually acceptable location within five (5) years from the date of that amendment.</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Termination Right:</w:t>
        <w:tab/>
      </w:r>
      <w:r>
        <w:rPr>
          <w:rFonts w:ascii="Arial Narrow" w:hAnsi="Arial Narrow"/>
          <w:b w:val="false"/>
          <w:bCs w:val="false"/>
          <w:sz w:val="22"/>
          <w:szCs w:val="22"/>
        </w:rPr>
        <w:t>Either party may terminate only upon destruction or condemnation of the premises. The landlord may also terminate if the tenant defaults and fails to cure within the notice period. No right of termination for convenience is provided.</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Recapture/Go Dark:</w:t>
        <w:tab/>
      </w:r>
      <w:r>
        <w:rPr>
          <w:rFonts w:ascii="Arial Narrow" w:hAnsi="Arial Narrow"/>
          <w:b w:val="false"/>
          <w:bCs w:val="false"/>
          <w:sz w:val="22"/>
          <w:szCs w:val="22"/>
        </w:rPr>
        <w:t>Not Available</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sz w:val="22"/>
          <w:szCs w:val="22"/>
        </w:rPr>
      </w:pPr>
      <w:r>
        <w:rPr>
          <w:rFonts w:ascii="Arial Narrow" w:hAnsi="Arial Narrow"/>
          <w:b/>
          <w:sz w:val="22"/>
          <w:szCs w:val="22"/>
        </w:rPr>
        <w:t>Co-Tenancy:</w:t>
        <w:tab/>
      </w:r>
      <w:r>
        <w:rPr>
          <w:rFonts w:ascii="Arial Narrow" w:hAnsi="Arial Narrow"/>
          <w:b w:val="false"/>
          <w:bCs w:val="false"/>
          <w:sz w:val="22"/>
          <w:szCs w:val="22"/>
        </w:rPr>
        <w:t>Not Available</w:t>
      </w:r>
    </w:p>
    <w:p>
      <w:pPr>
        <w:pStyle w:val="Normal"/>
        <w:ind w:left="2160" w:hanging="2160"/>
        <w:jc w:val="both"/>
        <w:rPr>
          <w:rFonts w:ascii="Arial Narrow" w:hAnsi="Arial Narrow"/>
          <w:b/>
          <w:b/>
          <w:sz w:val="22"/>
          <w:szCs w:val="22"/>
        </w:rPr>
      </w:pPr>
      <w:r>
        <w:rPr>
          <w:rFonts w:ascii="Arial Narrow" w:hAnsi="Arial Narrow"/>
          <w:b/>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Radius:</w:t>
        <w:tab/>
      </w:r>
      <w:r>
        <w:rPr>
          <w:rFonts w:ascii="Arial Narrow" w:hAnsi="Arial Narrow"/>
          <w:bCs/>
          <w:sz w:val="22"/>
          <w:szCs w:val="22"/>
        </w:rPr>
        <w:t xml:space="preserve"> Lessor covenants that it shall not lease or permit any portion of the premises for use as a bank, mortgage or loan association, or similar institution without prior written approval of the Lessee, except for a savings and loan branch with a floor limit of 1,000 sq ft.</w:t>
      </w:r>
    </w:p>
    <w:p>
      <w:pPr>
        <w:pStyle w:val="Normal"/>
        <w:ind w:left="2160" w:hanging="2160"/>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bCs/>
          <w:sz w:val="22"/>
          <w:szCs w:val="22"/>
        </w:rPr>
      </w:pPr>
      <w:r>
        <w:rPr>
          <w:rFonts w:ascii="Arial Narrow" w:hAnsi="Arial Narrow"/>
          <w:b/>
          <w:sz w:val="22"/>
          <w:szCs w:val="22"/>
        </w:rPr>
        <w:t xml:space="preserve">Estoppel:  </w:t>
        <w:tab/>
      </w:r>
      <w:r>
        <w:rPr>
          <w:rFonts w:ascii="Arial Narrow" w:hAnsi="Arial Narrow"/>
          <w:b w:val="false"/>
          <w:bCs w:val="false"/>
          <w:sz w:val="22"/>
          <w:szCs w:val="22"/>
        </w:rPr>
        <w:t>T</w:t>
      </w:r>
      <w:r>
        <w:rPr>
          <w:rFonts w:ascii="Arial Narrow" w:hAnsi="Arial Narrow"/>
          <w:b w:val="false"/>
          <w:bCs w:val="false"/>
          <w:sz w:val="22"/>
          <w:szCs w:val="22"/>
        </w:rPr>
        <w:t>enant executed an estoppel affidavit as part of the 1997 amendment.</w:t>
      </w:r>
    </w:p>
    <w:p>
      <w:pPr>
        <w:pStyle w:val="Normal"/>
        <w:ind w:left="2160" w:hanging="2160"/>
        <w:jc w:val="both"/>
        <w:rPr>
          <w:rFonts w:ascii="Arial Narrow" w:hAnsi="Arial Narrow"/>
          <w:sz w:val="22"/>
          <w:szCs w:val="22"/>
        </w:rPr>
      </w:pPr>
      <w:r>
        <w:rPr>
          <w:rFonts w:ascii="Arial Narrow" w:hAnsi="Arial Narrow"/>
          <w:sz w:val="22"/>
          <w:szCs w:val="22"/>
        </w:rPr>
      </w:r>
    </w:p>
    <w:p>
      <w:pPr>
        <w:pStyle w:val="Normal"/>
        <w:ind w:left="2160" w:hanging="2160"/>
        <w:jc w:val="both"/>
        <w:rPr>
          <w:rFonts w:ascii="Arial Narrow" w:hAnsi="Arial Narrow"/>
          <w:b/>
          <w:b/>
          <w:sz w:val="22"/>
          <w:szCs w:val="22"/>
        </w:rPr>
      </w:pPr>
      <w:r>
        <w:rPr>
          <w:rFonts w:ascii="Arial Narrow" w:hAnsi="Arial Narrow"/>
          <w:b/>
          <w:sz w:val="22"/>
          <w:szCs w:val="22"/>
        </w:rPr>
        <w:t>Security Deposit:</w:t>
        <w:tab/>
      </w:r>
      <w:r>
        <w:rPr>
          <w:rFonts w:ascii="Arial Narrow" w:hAnsi="Arial Narrow"/>
          <w:b w:val="false"/>
          <w:bCs w:val="false"/>
          <w:sz w:val="22"/>
          <w:szCs w:val="22"/>
        </w:rPr>
        <w:t>No security deposit required or mentioned.</w:t>
      </w:r>
    </w:p>
    <w:p>
      <w:pPr>
        <w:pStyle w:val="Normal"/>
        <w:ind w:left="2160" w:hanging="2160"/>
        <w:jc w:val="both"/>
        <w:rPr>
          <w:rFonts w:ascii="Arial Narrow" w:hAnsi="Arial Narrow"/>
          <w:b/>
          <w:b/>
          <w:sz w:val="22"/>
          <w:szCs w:val="22"/>
        </w:rPr>
      </w:pPr>
      <w:r>
        <w:rPr/>
      </w:r>
    </w:p>
    <w:sectPr>
      <w:headerReference w:type="default" r:id="rId2"/>
      <w:footerReference w:type="default" r:id="rId3"/>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Arial Narrow">
    <w:charset w:val="01"/>
    <w:family w:val="roman"/>
    <w:pitch w:val="variable"/>
  </w:font>
  <w:font w:name="Steelfis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
        <w:i/>
        <w:i/>
        <w:sz w:val="24"/>
        <w:szCs w:val="24"/>
      </w:rPr>
    </w:pPr>
    <w:r>
      <w:rPr>
        <w:b/>
        <w:i/>
        <w:sz w:val="24"/>
        <w:szCs w:val="24"/>
      </w:rPr>
    </w:r>
  </w:p>
  <w:p>
    <w:pPr>
      <w:pStyle w:val="Header"/>
      <w:pBdr>
        <w:bottom w:val="single" w:sz="4" w:space="1" w:color="000000"/>
      </w:pBdr>
      <w:rPr>
        <w:b/>
        <w:b/>
        <w:i/>
        <w:i/>
        <w:sz w:val="2"/>
        <w:szCs w:val="2"/>
      </w:rPr>
    </w:pPr>
    <w:r>
      <w:rPr>
        <w:b/>
        <w:i/>
        <w:sz w:val="2"/>
        <w:szCs w:val="2"/>
      </w:rPr>
    </w:r>
  </w:p>
  <w:p>
    <w:pPr>
      <w:pStyle w:val="Footer"/>
      <w:jc w:val="right"/>
      <w:rPr/>
    </w:pPr>
    <w:r>
      <w:rPr/>
      <w:drawing>
        <wp:inline distT="0" distB="0" distL="0" distR="0">
          <wp:extent cx="1752600" cy="495300"/>
          <wp:effectExtent l="0" t="0" r="0" b="0"/>
          <wp:docPr id="1" name="Picture 1" descr="CORPORATION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RPORATION small"/>
                  <pic:cNvPicPr>
                    <a:picLocks noChangeAspect="1" noChangeArrowheads="1"/>
                  </pic:cNvPicPr>
                </pic:nvPicPr>
                <pic:blipFill>
                  <a:blip r:embed="rId1"/>
                  <a:stretch>
                    <a:fillRect/>
                  </a:stretch>
                </pic:blipFill>
                <pic:spPr bwMode="auto">
                  <a:xfrm>
                    <a:off x="0" y="0"/>
                    <a:ext cx="1752600" cy="495300"/>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s>
      <w:rPr>
        <w:rFonts w:ascii="Steelfish" w:hAnsi="Steelfish"/>
        <w:b/>
        <w:b/>
        <w:i/>
        <w:i/>
        <w:sz w:val="36"/>
        <w:szCs w:val="48"/>
      </w:rPr>
    </w:pPr>
    <w:r>
      <w:rPr>
        <w:rFonts w:ascii="Steelfish" w:hAnsi="Steelfish"/>
        <w:b/>
        <w:i/>
        <w:sz w:val="36"/>
        <w:szCs w:val="48"/>
      </w:rPr>
      <w:t>LEASE ABSTRACT</w:t>
    </w:r>
  </w:p>
  <w:p>
    <w:pPr>
      <w:pStyle w:val="Header"/>
      <w:pBdr>
        <w:bottom w:val="single" w:sz="4" w:space="1" w:color="000000"/>
      </w:pBdr>
      <w:rPr>
        <w:rFonts w:ascii="Steelfish" w:hAnsi="Steelfish"/>
        <w:b/>
        <w:b/>
        <w:i/>
        <w:i/>
        <w:sz w:val="2"/>
        <w:szCs w:val="2"/>
      </w:rPr>
    </w:pPr>
    <w:r>
      <w:rPr>
        <w:rFonts w:ascii="Steelfish" w:hAnsi="Steelfish"/>
        <w:b/>
        <w:i/>
        <w:sz w:val="2"/>
        <w:szCs w:val="2"/>
      </w:rPr>
    </w:r>
  </w:p>
  <w:p>
    <w:pPr>
      <w:pStyle w:val="Header"/>
      <w:rPr>
        <w:rFonts w:ascii="Steelfish" w:hAnsi="Steelfish"/>
        <w:b/>
        <w:b/>
        <w:i/>
        <w:i/>
        <w:sz w:val="24"/>
        <w:szCs w:val="24"/>
      </w:rPr>
    </w:pPr>
    <w:r>
      <w:rPr>
        <w:rFonts w:ascii="Steelfish" w:hAnsi="Steelfish"/>
        <w:b/>
        <w:i/>
        <w:sz w:val="24"/>
        <w:szCs w:val="24"/>
      </w:rPr>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1f89"/>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sid w:val="00f21f89"/>
    <w:rPr>
      <w:rFonts w:ascii="Times New Roman" w:hAnsi="Times New Roman" w:eastAsia="Times New Roman" w:cs="Times New Roman"/>
      <w:sz w:val="20"/>
      <w:szCs w:val="20"/>
    </w:rPr>
  </w:style>
  <w:style w:type="character" w:styleId="FooterChar" w:customStyle="1">
    <w:name w:val="Footer Char"/>
    <w:basedOn w:val="DefaultParagraphFont"/>
    <w:link w:val="Footer"/>
    <w:qFormat/>
    <w:rsid w:val="00f21f89"/>
    <w:rPr>
      <w:rFonts w:ascii="Times New Roman" w:hAnsi="Times New Roman" w:eastAsia="Times New Roman" w:cs="Times New Roman"/>
      <w:sz w:val="20"/>
      <w:szCs w:val="20"/>
    </w:rPr>
  </w:style>
  <w:style w:type="character" w:styleId="BalloonTextChar" w:customStyle="1">
    <w:name w:val="Balloon Text Char"/>
    <w:basedOn w:val="DefaultParagraphFont"/>
    <w:link w:val="BalloonText"/>
    <w:uiPriority w:val="99"/>
    <w:semiHidden/>
    <w:qFormat/>
    <w:rsid w:val="00941f2c"/>
    <w:rPr>
      <w:rFonts w:ascii="Tahoma" w:hAnsi="Tahoma" w:eastAsia="Times New Roman" w:cs="Tahoma"/>
      <w:sz w:val="16"/>
      <w:szCs w:val="16"/>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HeaderandFooter">
    <w:name w:val="Header and Footer"/>
    <w:basedOn w:val="Normal"/>
    <w:qFormat/>
    <w:pPr/>
    <w:rPr/>
  </w:style>
  <w:style w:type="paragraph" w:styleId="Header">
    <w:name w:val="Header"/>
    <w:basedOn w:val="Normal"/>
    <w:link w:val="HeaderChar"/>
    <w:rsid w:val="00f21f89"/>
    <w:pPr>
      <w:tabs>
        <w:tab w:val="clear" w:pos="720"/>
        <w:tab w:val="center" w:pos="4320" w:leader="none"/>
        <w:tab w:val="right" w:pos="8640" w:leader="none"/>
      </w:tabs>
    </w:pPr>
    <w:rPr/>
  </w:style>
  <w:style w:type="paragraph" w:styleId="Footer">
    <w:name w:val="Footer"/>
    <w:basedOn w:val="Normal"/>
    <w:link w:val="FooterChar"/>
    <w:rsid w:val="00f21f89"/>
    <w:pPr>
      <w:tabs>
        <w:tab w:val="clear" w:pos="720"/>
        <w:tab w:val="center" w:pos="4320" w:leader="none"/>
        <w:tab w:val="right" w:pos="8640" w:leader="none"/>
      </w:tabs>
    </w:pPr>
    <w:rPr/>
  </w:style>
  <w:style w:type="paragraph" w:styleId="BalloonText">
    <w:name w:val="Balloon Text"/>
    <w:basedOn w:val="Normal"/>
    <w:link w:val="BalloonTextChar"/>
    <w:uiPriority w:val="99"/>
    <w:semiHidden/>
    <w:unhideWhenUsed/>
    <w:qFormat/>
    <w:rsid w:val="00941f2c"/>
    <w:pPr/>
    <w:rPr>
      <w:rFonts w:ascii="Tahoma" w:hAnsi="Tahoma" w:cs="Tahoma"/>
      <w:sz w:val="16"/>
      <w:szCs w:val="16"/>
    </w:rPr>
  </w:style>
  <w:style w:type="paragraph" w:styleId="NoSpacing">
    <w:name w:val="No Spacing"/>
    <w:uiPriority w:val="1"/>
    <w:qFormat/>
    <w:rsid w:val="00d81322"/>
    <w:pPr>
      <w:widowControl/>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b31e86"/>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44AAF044E5174BBAB2E9FA7DA8B901" ma:contentTypeVersion="15" ma:contentTypeDescription="Create a new document." ma:contentTypeScope="" ma:versionID="b39e7a8a184d120d3ddaf254f614bb1f">
  <xsd:schema xmlns:xsd="http://www.w3.org/2001/XMLSchema" xmlns:xs="http://www.w3.org/2001/XMLSchema" xmlns:p="http://schemas.microsoft.com/office/2006/metadata/properties" xmlns:ns2="f295f4e7-370d-43ea-8ad8-fa2c8b62b3f7" xmlns:ns3="2e2d93c0-05ca-4acf-8071-5328f6f16a3a" targetNamespace="http://schemas.microsoft.com/office/2006/metadata/properties" ma:root="true" ma:fieldsID="7a3716b7c056cfb34f76e6e55ed70df7" ns2:_="" ns3:_="">
    <xsd:import namespace="f295f4e7-370d-43ea-8ad8-fa2c8b62b3f7"/>
    <xsd:import namespace="2e2d93c0-05ca-4acf-8071-5328f6f16a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5f4e7-370d-43ea-8ad8-fa2c8b62b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ce9d40d-3763-4984-a656-386d6ad474d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2d93c0-05ca-4acf-8071-5328f6f16a3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077eec8-0cf1-48f9-b8a3-0acc91ece6ab}" ma:internalName="TaxCatchAll" ma:showField="CatchAllData" ma:web="2e2d93c0-05ca-4acf-8071-5328f6f16a3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e2d93c0-05ca-4acf-8071-5328f6f16a3a" xsi:nil="true"/>
    <lcf76f155ced4ddcb4097134ff3c332f xmlns="f295f4e7-370d-43ea-8ad8-fa2c8b62b3f7">
      <Terms xmlns="http://schemas.microsoft.com/office/infopath/2007/PartnerControls"/>
    </lcf76f155ced4ddcb4097134ff3c332f>
    <MediaLengthInSeconds xmlns="f295f4e7-370d-43ea-8ad8-fa2c8b62b3f7" xsi:nil="true"/>
    <SharedWithUsers xmlns="2e2d93c0-05ca-4acf-8071-5328f6f16a3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D39087-671F-4E7F-816E-3D0AE1C0D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5f4e7-370d-43ea-8ad8-fa2c8b62b3f7"/>
    <ds:schemaRef ds:uri="2e2d93c0-05ca-4acf-8071-5328f6f16a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7DC6A-96D2-4129-B003-59D6DD46B4D1}">
  <ds:schemaRefs>
    <ds:schemaRef ds:uri="http://purl.org/dc/dcmitype/"/>
    <ds:schemaRef ds:uri="http://schemas.microsoft.com/office/infopath/2007/PartnerControls"/>
    <ds:schemaRef ds:uri="http://purl.org/dc/elements/1.1/"/>
    <ds:schemaRef ds:uri="2e2d93c0-05ca-4acf-8071-5328f6f16a3a"/>
    <ds:schemaRef ds:uri="http://schemas.openxmlformats.org/package/2006/metadata/core-properties"/>
    <ds:schemaRef ds:uri="http://purl.org/dc/terms/"/>
    <ds:schemaRef ds:uri="http://schemas.microsoft.com/office/2006/documentManagement/types"/>
    <ds:schemaRef ds:uri="f295f4e7-370d-43ea-8ad8-fa2c8b62b3f7"/>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2B3C5100-8EDB-4B35-891D-AF93BE5661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Application>DocxEditor/3.0.0.2$MacOSX_AARCH64 LibreOffice_project/e114eadc50a9ff8d8c8a0567d6da8f454beeb84f</Application>
  <AppVersion>15.0000</AppVersion>
  <Pages>2</Pages>
  <Words>422</Words>
  <Characters>2417</Characters>
  <CharactersWithSpaces>2824</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2025-10-22T14:23:00Z</dcterms:created>
  <dc:creator>Emily Dutson</dc:creator>
  <dc:description/>
  <dc:language>en-US</dc:language>
  <cp:lastModifiedBy/>
  <dcterms:modified xsi:type="dcterms:W3CDTF">2025-10-30T20:53:54Z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0x010100FF44AAF044E5174BBAB2E9FA7DA8B901</vt:lpwstr>
  </property>
  <property fmtid="{D5CDD505-2E9C-101B-9397-08002B2CF9AE}" pid="4" name="MediaServiceImageTags">
    <vt:lpwstr/>
  </property>
  <property fmtid="{D5CDD505-2E9C-101B-9397-08002B2CF9AE}" pid="5" name="Order">
    <vt:r8>434200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0</vt:bool>
  </property>
</Properties>
</file>