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46C3" w:rsidRDefault="004A7646" w:rsidP="00B3368B">
      <w:pPr>
        <w:pStyle w:val="NormalWeb"/>
        <w:ind w:left="720"/>
        <w:rPr>
          <w:b/>
          <w:sz w:val="36"/>
          <w:u w:val="single"/>
          <w:lang w:val="en-US"/>
        </w:rPr>
      </w:pPr>
      <w:r>
        <w:rPr>
          <w:b/>
          <w:color w:val="000000" w:themeColor="text1"/>
          <w:sz w:val="36"/>
          <w:highlight w:val="lightGray"/>
          <w:u w:val="single"/>
          <w:lang w:val="en-US"/>
        </w:rPr>
        <w:t xml:space="preserve">Global </w:t>
      </w:r>
      <w:r w:rsidR="008B7E23">
        <w:rPr>
          <w:b/>
          <w:color w:val="000000" w:themeColor="text1"/>
          <w:sz w:val="36"/>
          <w:highlight w:val="lightGray"/>
          <w:u w:val="single"/>
          <w:lang w:val="en-US"/>
        </w:rPr>
        <w:t>Oil and Energy</w:t>
      </w:r>
      <w:r>
        <w:rPr>
          <w:b/>
          <w:color w:val="000000" w:themeColor="text1"/>
          <w:sz w:val="36"/>
          <w:highlight w:val="lightGray"/>
          <w:u w:val="single"/>
          <w:lang w:val="en-US"/>
        </w:rPr>
        <w:t xml:space="preserve"> </w:t>
      </w:r>
      <w:r w:rsidR="00D546C3" w:rsidRPr="004B3042">
        <w:rPr>
          <w:b/>
          <w:color w:val="000000" w:themeColor="text1"/>
          <w:sz w:val="36"/>
          <w:highlight w:val="lightGray"/>
          <w:u w:val="single"/>
          <w:lang w:val="en-US"/>
        </w:rPr>
        <w:t>Dynamics:</w:t>
      </w:r>
      <w:r w:rsidR="00D546C3" w:rsidRPr="004B3042">
        <w:rPr>
          <w:b/>
          <w:sz w:val="36"/>
          <w:u w:val="single"/>
          <w:lang w:val="en-US"/>
        </w:rPr>
        <w:t xml:space="preserve">   </w:t>
      </w:r>
    </w:p>
    <w:p w:rsidR="00D546C3" w:rsidRPr="00F75BCB" w:rsidRDefault="00D546C3" w:rsidP="00D546C3">
      <w:pPr>
        <w:rPr>
          <w:b/>
          <w:sz w:val="32"/>
          <w:lang w:val="en-US"/>
        </w:rPr>
      </w:pPr>
      <w:r>
        <w:rPr>
          <w:b/>
          <w:sz w:val="36"/>
          <w:lang w:val="en-US"/>
        </w:rPr>
        <w:t xml:space="preserve">                   :   </w:t>
      </w:r>
      <w:r w:rsidR="000D60A7" w:rsidRPr="000D60A7">
        <w:rPr>
          <w:b/>
          <w:sz w:val="32"/>
        </w:rPr>
        <w:t>India, Russia, and Geopolitical Impacts (2016–2025)</w:t>
      </w:r>
    </w:p>
    <w:p w:rsidR="00D546C3" w:rsidRDefault="00D546C3" w:rsidP="00D546C3">
      <w:pPr>
        <w:rPr>
          <w:b/>
          <w:sz w:val="24"/>
          <w:lang w:val="en-US"/>
        </w:rPr>
      </w:pPr>
    </w:p>
    <w:p w:rsidR="000D60A7" w:rsidRPr="00473E82" w:rsidRDefault="000D60A7" w:rsidP="00D546C3">
      <w:pPr>
        <w:rPr>
          <w:sz w:val="28"/>
        </w:rPr>
      </w:pPr>
      <w:r w:rsidRPr="00473E82">
        <w:rPr>
          <w:sz w:val="28"/>
        </w:rPr>
        <w:t xml:space="preserve">“A Data-Driven Analysis of Energy Trade, Oil Prices, </w:t>
      </w:r>
      <w:r w:rsidRPr="00473E82">
        <w:rPr>
          <w:sz w:val="28"/>
        </w:rPr>
        <w:t>Trends, Shifts</w:t>
      </w:r>
      <w:r w:rsidRPr="00473E82">
        <w:rPr>
          <w:sz w:val="28"/>
        </w:rPr>
        <w:t>, and Marke</w:t>
      </w:r>
      <w:r w:rsidRPr="00473E82">
        <w:rPr>
          <w:sz w:val="28"/>
        </w:rPr>
        <w:t xml:space="preserve">t Impacts </w:t>
      </w:r>
    </w:p>
    <w:p w:rsidR="000D60A7" w:rsidRPr="000D60A7" w:rsidRDefault="000D60A7" w:rsidP="00D546C3">
      <w:pPr>
        <w:rPr>
          <w:i/>
          <w:sz w:val="28"/>
          <w:lang w:val="en-US"/>
        </w:rPr>
      </w:pPr>
    </w:p>
    <w:p w:rsidR="00F75BCB" w:rsidRDefault="000D60A7" w:rsidP="00D546C3">
      <w:pPr>
        <w:rPr>
          <w:i/>
          <w:sz w:val="24"/>
          <w:lang w:val="en-US"/>
        </w:rPr>
      </w:pPr>
      <w:r>
        <w:rPr>
          <w:i/>
          <w:sz w:val="24"/>
          <w:lang w:val="en-US"/>
        </w:rPr>
        <w:t xml:space="preserve"> </w:t>
      </w:r>
      <w:r w:rsidR="003138E5">
        <w:rPr>
          <w:i/>
          <w:sz w:val="24"/>
          <w:lang w:val="en-US"/>
        </w:rPr>
        <w:t xml:space="preserve">Author – </w:t>
      </w:r>
      <w:proofErr w:type="spellStart"/>
      <w:r w:rsidR="003138E5">
        <w:rPr>
          <w:i/>
          <w:sz w:val="24"/>
          <w:lang w:val="en-US"/>
        </w:rPr>
        <w:t>Mohit</w:t>
      </w:r>
      <w:proofErr w:type="spellEnd"/>
      <w:r w:rsidR="003138E5">
        <w:rPr>
          <w:i/>
          <w:sz w:val="24"/>
          <w:lang w:val="en-US"/>
        </w:rPr>
        <w:t xml:space="preserve"> </w:t>
      </w:r>
      <w:proofErr w:type="spellStart"/>
      <w:r w:rsidR="003138E5">
        <w:rPr>
          <w:i/>
          <w:sz w:val="24"/>
          <w:lang w:val="en-US"/>
        </w:rPr>
        <w:t>Chaturvedi</w:t>
      </w:r>
      <w:proofErr w:type="spellEnd"/>
      <w:proofErr w:type="gramStart"/>
      <w:r w:rsidR="003138E5">
        <w:rPr>
          <w:i/>
          <w:sz w:val="24"/>
          <w:lang w:val="en-US"/>
        </w:rPr>
        <w:t>,  29</w:t>
      </w:r>
      <w:proofErr w:type="gramEnd"/>
      <w:r w:rsidR="00F75BCB">
        <w:rPr>
          <w:i/>
          <w:sz w:val="24"/>
          <w:lang w:val="en-US"/>
        </w:rPr>
        <w:t>–Sept 2025</w:t>
      </w:r>
    </w:p>
    <w:p w:rsidR="00D546C3" w:rsidRDefault="00D546C3" w:rsidP="00D546C3">
      <w:pPr>
        <w:rPr>
          <w:i/>
          <w:sz w:val="24"/>
          <w:lang w:val="en-US"/>
        </w:rPr>
      </w:pPr>
    </w:p>
    <w:p w:rsidR="00D546C3" w:rsidRPr="00D546C3" w:rsidRDefault="00907780" w:rsidP="00D546C3">
      <w:pPr>
        <w:rPr>
          <w:sz w:val="24"/>
          <w:lang w:val="en-US"/>
        </w:rPr>
      </w:pPr>
      <w:r>
        <w:rPr>
          <w:sz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6pt;height:275.45pt">
            <v:imagedata r:id="rId7" o:title="Crude oil Backgroun"/>
          </v:shape>
        </w:pict>
      </w:r>
    </w:p>
    <w:p w:rsidR="00D546C3" w:rsidRDefault="00D546C3" w:rsidP="00D546C3">
      <w:pPr>
        <w:rPr>
          <w:b/>
          <w:i/>
          <w:sz w:val="24"/>
          <w:lang w:val="en-US"/>
        </w:rPr>
      </w:pPr>
    </w:p>
    <w:p w:rsidR="00D546C3" w:rsidRPr="00D546C3" w:rsidRDefault="00D546C3" w:rsidP="00D546C3">
      <w:pPr>
        <w:rPr>
          <w:b/>
          <w:sz w:val="24"/>
          <w:lang w:val="en-US"/>
        </w:rPr>
      </w:pPr>
    </w:p>
    <w:p w:rsidR="00D546C3" w:rsidRDefault="00D546C3" w:rsidP="00D546C3">
      <w:pPr>
        <w:rPr>
          <w:b/>
          <w:sz w:val="32"/>
          <w:lang w:val="en-US"/>
        </w:rPr>
      </w:pPr>
    </w:p>
    <w:p w:rsidR="00D546C3" w:rsidRDefault="00D546C3" w:rsidP="00D546C3">
      <w:pPr>
        <w:rPr>
          <w:b/>
          <w:sz w:val="32"/>
          <w:lang w:val="en-US"/>
        </w:rPr>
      </w:pPr>
    </w:p>
    <w:p w:rsidR="00D546C3" w:rsidRPr="00D546C3" w:rsidRDefault="00D546C3" w:rsidP="00D546C3">
      <w:pPr>
        <w:rPr>
          <w:b/>
          <w:lang w:val="en-US"/>
        </w:rPr>
      </w:pPr>
    </w:p>
    <w:p w:rsidR="00D546C3" w:rsidRDefault="00D546C3" w:rsidP="00D546C3">
      <w:pPr>
        <w:rPr>
          <w:b/>
          <w:sz w:val="28"/>
          <w:lang w:val="en-US"/>
        </w:rPr>
      </w:pPr>
      <w:r w:rsidRPr="00D546C3">
        <w:rPr>
          <w:b/>
          <w:sz w:val="28"/>
          <w:lang w:val="en-US"/>
        </w:rPr>
        <w:t xml:space="preserve">                                             </w:t>
      </w:r>
    </w:p>
    <w:p w:rsidR="00F75BCB" w:rsidRDefault="00F75BCB" w:rsidP="00D546C3">
      <w:pPr>
        <w:rPr>
          <w:b/>
          <w:sz w:val="28"/>
          <w:lang w:val="en-US"/>
        </w:rPr>
      </w:pPr>
    </w:p>
    <w:p w:rsidR="00BC20D1" w:rsidRDefault="00BC20D1" w:rsidP="00F75BCB">
      <w:pPr>
        <w:jc w:val="both"/>
        <w:rPr>
          <w:b/>
          <w:sz w:val="40"/>
          <w:u w:val="single"/>
        </w:rPr>
      </w:pPr>
    </w:p>
    <w:p w:rsidR="006913D6" w:rsidRPr="00473E82" w:rsidRDefault="006913D6" w:rsidP="006913D6">
      <w:pPr>
        <w:pStyle w:val="Heading2"/>
        <w:rPr>
          <w:color w:val="000000" w:themeColor="text1"/>
        </w:rPr>
      </w:pPr>
      <w:r w:rsidRPr="00473E82">
        <w:rPr>
          <w:rStyle w:val="Strong"/>
          <w:b/>
          <w:bCs/>
          <w:color w:val="000000" w:themeColor="text1"/>
        </w:rPr>
        <w:t xml:space="preserve">Table of Contents </w:t>
      </w:r>
    </w:p>
    <w:p w:rsidR="006913D6" w:rsidRDefault="006913D6" w:rsidP="006913D6">
      <w:pPr>
        <w:pStyle w:val="NormalWeb"/>
        <w:numPr>
          <w:ilvl w:val="0"/>
          <w:numId w:val="37"/>
        </w:numPr>
      </w:pPr>
      <w:r>
        <w:t>Executive Summary &amp; Research Questions</w:t>
      </w:r>
    </w:p>
    <w:p w:rsidR="006913D6" w:rsidRDefault="006913D6" w:rsidP="006913D6">
      <w:pPr>
        <w:pStyle w:val="NormalWeb"/>
        <w:numPr>
          <w:ilvl w:val="0"/>
          <w:numId w:val="37"/>
        </w:numPr>
      </w:pPr>
      <w:r>
        <w:t>Methodology</w:t>
      </w:r>
    </w:p>
    <w:p w:rsidR="006913D6" w:rsidRDefault="006913D6" w:rsidP="006913D6">
      <w:pPr>
        <w:pStyle w:val="NormalWeb"/>
        <w:numPr>
          <w:ilvl w:val="0"/>
          <w:numId w:val="37"/>
        </w:numPr>
      </w:pPr>
      <w:r>
        <w:t>Tools &amp; Technologies</w:t>
      </w:r>
    </w:p>
    <w:p w:rsidR="006913D6" w:rsidRDefault="006913D6" w:rsidP="006913D6">
      <w:pPr>
        <w:pStyle w:val="NormalWeb"/>
        <w:numPr>
          <w:ilvl w:val="0"/>
          <w:numId w:val="37"/>
        </w:numPr>
      </w:pPr>
      <w:r>
        <w:t>Data Sources</w:t>
      </w:r>
    </w:p>
    <w:p w:rsidR="006913D6" w:rsidRDefault="006913D6" w:rsidP="006913D6">
      <w:pPr>
        <w:pStyle w:val="NormalWeb"/>
        <w:numPr>
          <w:ilvl w:val="0"/>
          <w:numId w:val="37"/>
        </w:numPr>
      </w:pPr>
      <w:r>
        <w:t>Key Insights</w:t>
      </w:r>
    </w:p>
    <w:p w:rsidR="006913D6" w:rsidRDefault="006913D6" w:rsidP="006913D6">
      <w:pPr>
        <w:pStyle w:val="NormalWeb"/>
        <w:numPr>
          <w:ilvl w:val="0"/>
          <w:numId w:val="37"/>
        </w:numPr>
      </w:pPr>
      <w:r>
        <w:t>Research Questions</w:t>
      </w:r>
    </w:p>
    <w:p w:rsidR="006913D6" w:rsidRDefault="006913D6" w:rsidP="006913D6">
      <w:r>
        <w:pict>
          <v:rect id="_x0000_i1042" style="width:0;height:1.5pt" o:hralign="center" o:hrstd="t" o:hr="t" fillcolor="#a0a0a0" stroked="f"/>
        </w:pict>
      </w:r>
    </w:p>
    <w:p w:rsidR="006913D6" w:rsidRPr="00473E82" w:rsidRDefault="006913D6" w:rsidP="006913D6">
      <w:pPr>
        <w:pStyle w:val="Heading2"/>
        <w:rPr>
          <w:color w:val="000000" w:themeColor="text1"/>
        </w:rPr>
      </w:pPr>
      <w:r w:rsidRPr="00473E82">
        <w:rPr>
          <w:rStyle w:val="Strong"/>
          <w:b/>
          <w:bCs/>
          <w:color w:val="000000" w:themeColor="text1"/>
        </w:rPr>
        <w:t>1. Executive Summary &amp; Research Questions</w:t>
      </w:r>
    </w:p>
    <w:p w:rsidR="006913D6" w:rsidRPr="00473E82" w:rsidRDefault="006913D6" w:rsidP="006913D6">
      <w:pPr>
        <w:pStyle w:val="Heading3"/>
        <w:rPr>
          <w:color w:val="000000" w:themeColor="text1"/>
        </w:rPr>
      </w:pPr>
      <w:r w:rsidRPr="00473E82">
        <w:rPr>
          <w:rStyle w:val="Strong"/>
          <w:b/>
          <w:bCs/>
          <w:color w:val="000000" w:themeColor="text1"/>
        </w:rPr>
        <w:t>1.1 Problem Statement</w:t>
      </w:r>
    </w:p>
    <w:p w:rsidR="00AD29D7" w:rsidRPr="00AD29D7" w:rsidRDefault="00AD29D7" w:rsidP="00AD29D7">
      <w:pPr>
        <w:spacing w:before="100" w:beforeAutospacing="1" w:after="100" w:afterAutospacing="1" w:line="240" w:lineRule="auto"/>
        <w:rPr>
          <w:rFonts w:ascii="Times New Roman" w:eastAsia="Times New Roman" w:hAnsi="Times New Roman" w:cs="Times New Roman"/>
          <w:sz w:val="24"/>
          <w:szCs w:val="24"/>
          <w:lang w:eastAsia="en-IN"/>
        </w:rPr>
      </w:pPr>
      <w:r w:rsidRPr="00AD29D7">
        <w:rPr>
          <w:rFonts w:ascii="Times New Roman" w:eastAsia="Times New Roman" w:hAnsi="Times New Roman" w:cs="Times New Roman"/>
          <w:sz w:val="24"/>
          <w:szCs w:val="24"/>
          <w:lang w:eastAsia="en-IN"/>
        </w:rPr>
        <w:t>From 2016 to 2025, geopolitical events like the Russia–Ukraine war and OPEC+ production cuts, coupled with India and China’s increased reliance on discounted Russian oil and U.S</w:t>
      </w:r>
      <w:proofErr w:type="gramStart"/>
      <w:r w:rsidRPr="00AD29D7">
        <w:rPr>
          <w:rFonts w:ascii="Times New Roman" w:eastAsia="Times New Roman" w:hAnsi="Times New Roman" w:cs="Times New Roman"/>
          <w:sz w:val="24"/>
          <w:szCs w:val="24"/>
          <w:lang w:eastAsia="en-IN"/>
        </w:rPr>
        <w:t>./</w:t>
      </w:r>
      <w:proofErr w:type="gramEnd"/>
      <w:r w:rsidRPr="00AD29D7">
        <w:rPr>
          <w:rFonts w:ascii="Times New Roman" w:eastAsia="Times New Roman" w:hAnsi="Times New Roman" w:cs="Times New Roman"/>
          <w:sz w:val="24"/>
          <w:szCs w:val="24"/>
          <w:lang w:eastAsia="en-IN"/>
        </w:rPr>
        <w:t>EU sanctions, drove sharp fluctuations in global oil prices and trade patterns. These dynamics disrupted energy markets, heightened inflation, and posed challenges for policymakers and industries navigating energy security and economic stability</w:t>
      </w:r>
    </w:p>
    <w:p w:rsidR="0023341E" w:rsidRPr="00473E82" w:rsidRDefault="006913D6" w:rsidP="0023341E">
      <w:pPr>
        <w:pStyle w:val="Heading3"/>
        <w:rPr>
          <w:color w:val="000000" w:themeColor="text1"/>
        </w:rPr>
      </w:pPr>
      <w:r w:rsidRPr="00473E82">
        <w:rPr>
          <w:rStyle w:val="Strong"/>
          <w:b/>
          <w:bCs/>
          <w:color w:val="000000" w:themeColor="text1"/>
        </w:rPr>
        <w:t>1.2 Purpose of the Report</w:t>
      </w:r>
    </w:p>
    <w:p w:rsidR="0023341E" w:rsidRDefault="0023341E" w:rsidP="0023341E">
      <w:pPr>
        <w:pStyle w:val="NormalWeb"/>
        <w:numPr>
          <w:ilvl w:val="0"/>
          <w:numId w:val="38"/>
        </w:numPr>
      </w:pPr>
      <w:r w:rsidRPr="0023341E">
        <w:t>Identify correlations between oil prices, inflation, and shifting trade patterns</w:t>
      </w:r>
    </w:p>
    <w:p w:rsidR="006913D6" w:rsidRDefault="006913D6" w:rsidP="006913D6">
      <w:pPr>
        <w:pStyle w:val="NormalWeb"/>
        <w:numPr>
          <w:ilvl w:val="0"/>
          <w:numId w:val="38"/>
        </w:numPr>
      </w:pPr>
      <w:r>
        <w:t>Assess the economic impact of Russia’s oil exports on India and China</w:t>
      </w:r>
    </w:p>
    <w:p w:rsidR="000B65D8" w:rsidRDefault="000B65D8" w:rsidP="006913D6">
      <w:pPr>
        <w:pStyle w:val="NormalWeb"/>
        <w:numPr>
          <w:ilvl w:val="0"/>
          <w:numId w:val="38"/>
        </w:numPr>
      </w:pPr>
      <w:r>
        <w:t>Analyse</w:t>
      </w:r>
      <w:r>
        <w:t xml:space="preserve"> how U.S. energy exports to Europe and Russian discounts to Asia reshaped global trade and profits</w:t>
      </w:r>
    </w:p>
    <w:p w:rsidR="006913D6" w:rsidRPr="000B65D8" w:rsidRDefault="000B65D8" w:rsidP="000B65D8">
      <w:pPr>
        <w:pStyle w:val="NormalWeb"/>
        <w:numPr>
          <w:ilvl w:val="0"/>
          <w:numId w:val="42"/>
        </w:numPr>
        <w:rPr>
          <w:b/>
        </w:rPr>
      </w:pPr>
      <w:r w:rsidRPr="000B65D8">
        <w:rPr>
          <w:rStyle w:val="Strong"/>
          <w:rFonts w:eastAsiaTheme="majorEastAsia"/>
          <w:b w:val="0"/>
        </w:rPr>
        <w:t>Highlight sanction loopholes and indirect trade flows (e.g., uranium, fertilizers, Indian diesel refined from Russian crude) to illustrate the limits of geopolitical restrictions</w:t>
      </w:r>
    </w:p>
    <w:p w:rsidR="006913D6" w:rsidRDefault="006913D6" w:rsidP="006913D6">
      <w:r>
        <w:pict>
          <v:rect id="_x0000_i1047" style="width:0;height:1.5pt" o:hralign="center" o:hrstd="t" o:hr="t" fillcolor="#a0a0a0" stroked="f"/>
        </w:pict>
      </w:r>
    </w:p>
    <w:p w:rsidR="006913D6" w:rsidRPr="00473E82" w:rsidRDefault="006913D6" w:rsidP="006913D6">
      <w:pPr>
        <w:pStyle w:val="Heading2"/>
        <w:rPr>
          <w:color w:val="000000" w:themeColor="text1"/>
        </w:rPr>
      </w:pPr>
      <w:r w:rsidRPr="00473E82">
        <w:rPr>
          <w:rStyle w:val="Strong"/>
          <w:b/>
          <w:bCs/>
          <w:color w:val="000000" w:themeColor="text1"/>
        </w:rPr>
        <w:t>2. Methodology</w:t>
      </w:r>
    </w:p>
    <w:p w:rsidR="006913D6" w:rsidRDefault="006913D6" w:rsidP="006913D6">
      <w:pPr>
        <w:pStyle w:val="NormalWeb"/>
        <w:numPr>
          <w:ilvl w:val="0"/>
          <w:numId w:val="39"/>
        </w:numPr>
      </w:pPr>
      <w:r>
        <w:t>Data cleaning &amp; standardization (units, currencies, missing values)</w:t>
      </w:r>
    </w:p>
    <w:p w:rsidR="006913D6" w:rsidRDefault="006913D6" w:rsidP="006913D6">
      <w:pPr>
        <w:pStyle w:val="NormalWeb"/>
        <w:numPr>
          <w:ilvl w:val="0"/>
          <w:numId w:val="39"/>
        </w:numPr>
      </w:pPr>
      <w:r>
        <w:t>Trend analysis of oil prices, imports, exports, and energy types</w:t>
      </w:r>
    </w:p>
    <w:p w:rsidR="006913D6" w:rsidRDefault="006913D6" w:rsidP="006913D6">
      <w:pPr>
        <w:pStyle w:val="NormalWeb"/>
        <w:numPr>
          <w:ilvl w:val="0"/>
          <w:numId w:val="39"/>
        </w:numPr>
      </w:pPr>
      <w:r>
        <w:t>Correlation assessment: oil prices, inflation, and trade flows</w:t>
      </w:r>
    </w:p>
    <w:p w:rsidR="006913D6" w:rsidRDefault="006913D6" w:rsidP="006913D6">
      <w:pPr>
        <w:pStyle w:val="NormalWeb"/>
        <w:numPr>
          <w:ilvl w:val="0"/>
          <w:numId w:val="39"/>
        </w:numPr>
      </w:pPr>
      <w:r>
        <w:t>Visualization using charts, tables, and dashboards</w:t>
      </w:r>
    </w:p>
    <w:p w:rsidR="006913D6" w:rsidRDefault="006913D6" w:rsidP="006913D6">
      <w:r>
        <w:pict>
          <v:rect id="_x0000_i1043" style="width:0;height:1.5pt" o:hralign="center" o:hrstd="t" o:hr="t" fillcolor="#a0a0a0" stroked="f"/>
        </w:pict>
      </w:r>
    </w:p>
    <w:p w:rsidR="006913D6" w:rsidRPr="00473E82" w:rsidRDefault="006913D6" w:rsidP="006913D6">
      <w:pPr>
        <w:pStyle w:val="Heading2"/>
        <w:rPr>
          <w:color w:val="000000" w:themeColor="text1"/>
        </w:rPr>
      </w:pPr>
      <w:r w:rsidRPr="00473E82">
        <w:rPr>
          <w:rStyle w:val="Strong"/>
          <w:b/>
          <w:bCs/>
          <w:color w:val="000000" w:themeColor="text1"/>
        </w:rPr>
        <w:t>3. Tools &amp; Technologies</w:t>
      </w:r>
    </w:p>
    <w:p w:rsidR="006913D6" w:rsidRDefault="006913D6" w:rsidP="006913D6">
      <w:pPr>
        <w:pStyle w:val="NormalWeb"/>
      </w:pPr>
      <w:r>
        <w:t xml:space="preserve">Python | Power BI | Excel | </w:t>
      </w:r>
      <w:proofErr w:type="spellStart"/>
      <w:r>
        <w:t>ChatGPT</w:t>
      </w:r>
      <w:proofErr w:type="spellEnd"/>
      <w:r>
        <w:t xml:space="preserve"> | GROK</w:t>
      </w:r>
    </w:p>
    <w:p w:rsidR="006913D6" w:rsidRDefault="006913D6" w:rsidP="006913D6">
      <w:r>
        <w:lastRenderedPageBreak/>
        <w:pict>
          <v:rect id="_x0000_i1044" style="width:0;height:1.5pt" o:hralign="center" o:hrstd="t" o:hr="t" fillcolor="#a0a0a0" stroked="f"/>
        </w:pict>
      </w:r>
    </w:p>
    <w:p w:rsidR="006913D6" w:rsidRPr="00473E82" w:rsidRDefault="006913D6" w:rsidP="006913D6">
      <w:pPr>
        <w:pStyle w:val="Heading2"/>
        <w:rPr>
          <w:color w:val="000000" w:themeColor="text1"/>
        </w:rPr>
      </w:pPr>
      <w:r w:rsidRPr="00473E82">
        <w:rPr>
          <w:rStyle w:val="Strong"/>
          <w:b/>
          <w:bCs/>
          <w:color w:val="000000" w:themeColor="text1"/>
        </w:rPr>
        <w:t>4. Data Sources</w:t>
      </w:r>
    </w:p>
    <w:p w:rsidR="006913D6" w:rsidRDefault="006913D6" w:rsidP="006913D6">
      <w:pPr>
        <w:pStyle w:val="NormalWeb"/>
      </w:pPr>
      <w:r>
        <w:t xml:space="preserve">EIA | IEA | IMF | World Bank | CEIC | PPAC India | CREA | </w:t>
      </w:r>
      <w:proofErr w:type="spellStart"/>
      <w:r>
        <w:t>Statista</w:t>
      </w:r>
      <w:proofErr w:type="spellEnd"/>
      <w:r>
        <w:t xml:space="preserve"> | Trading Economics | ExxonMobil | Chevron | Reuters</w:t>
      </w:r>
    </w:p>
    <w:p w:rsidR="006913D6" w:rsidRDefault="006913D6" w:rsidP="006913D6">
      <w:r>
        <w:pict>
          <v:rect id="_x0000_i1045" style="width:0;height:1.5pt" o:hralign="center" o:hrstd="t" o:hr="t" fillcolor="#a0a0a0" stroked="f"/>
        </w:pict>
      </w:r>
    </w:p>
    <w:p w:rsidR="006913D6" w:rsidRPr="00473E82" w:rsidRDefault="006913D6" w:rsidP="006913D6">
      <w:pPr>
        <w:pStyle w:val="Heading2"/>
        <w:rPr>
          <w:color w:val="000000" w:themeColor="text1"/>
        </w:rPr>
      </w:pPr>
      <w:r w:rsidRPr="00473E82">
        <w:rPr>
          <w:rStyle w:val="Strong"/>
          <w:b/>
          <w:bCs/>
          <w:color w:val="000000" w:themeColor="text1"/>
        </w:rPr>
        <w:t>5. Key Insights</w:t>
      </w:r>
    </w:p>
    <w:p w:rsidR="006913D6" w:rsidRDefault="006913D6" w:rsidP="006913D6">
      <w:pPr>
        <w:pStyle w:val="NormalWeb"/>
        <w:numPr>
          <w:ilvl w:val="0"/>
          <w:numId w:val="40"/>
        </w:numPr>
      </w:pPr>
      <w:r>
        <w:rPr>
          <w:rStyle w:val="Strong"/>
          <w:rFonts w:eastAsiaTheme="majorEastAsia"/>
        </w:rPr>
        <w:t>Sanctions' Limited Impact:</w:t>
      </w:r>
      <w:r>
        <w:t xml:space="preserve"> U.S</w:t>
      </w:r>
      <w:proofErr w:type="gramStart"/>
      <w:r>
        <w:t>./</w:t>
      </w:r>
      <w:proofErr w:type="gramEnd"/>
      <w:r>
        <w:t>EU sanctions had a muted effect as Russia pivoted to Asia and established alternative trade channels.</w:t>
      </w:r>
    </w:p>
    <w:p w:rsidR="006913D6" w:rsidRDefault="006913D6" w:rsidP="006913D6">
      <w:pPr>
        <w:pStyle w:val="NormalWeb"/>
        <w:numPr>
          <w:ilvl w:val="0"/>
          <w:numId w:val="40"/>
        </w:numPr>
      </w:pPr>
      <w:r>
        <w:rPr>
          <w:rStyle w:val="Strong"/>
          <w:rFonts w:eastAsiaTheme="majorEastAsia"/>
        </w:rPr>
        <w:t>Importer Benefits:</w:t>
      </w:r>
      <w:r>
        <w:t xml:space="preserve"> India and China’s purchases of discounted Russian oil stabilized domestic energy costs.</w:t>
      </w:r>
    </w:p>
    <w:p w:rsidR="006913D6" w:rsidRDefault="006913D6" w:rsidP="006913D6">
      <w:pPr>
        <w:pStyle w:val="NormalWeb"/>
        <w:numPr>
          <w:ilvl w:val="0"/>
          <w:numId w:val="40"/>
        </w:numPr>
      </w:pPr>
      <w:r>
        <w:rPr>
          <w:rStyle w:val="Strong"/>
          <w:rFonts w:eastAsiaTheme="majorEastAsia"/>
        </w:rPr>
        <w:t>Oil-Inflation Link:</w:t>
      </w:r>
      <w:r>
        <w:t xml:space="preserve"> Strong positive correlation (r = 0.87) between global oil prices and inflation highlights energy’s role in price stability.</w:t>
      </w:r>
    </w:p>
    <w:p w:rsidR="006913D6" w:rsidRDefault="006913D6" w:rsidP="006913D6">
      <w:pPr>
        <w:pStyle w:val="NormalWeb"/>
        <w:numPr>
          <w:ilvl w:val="0"/>
          <w:numId w:val="40"/>
        </w:numPr>
      </w:pPr>
      <w:r>
        <w:rPr>
          <w:rStyle w:val="Strong"/>
          <w:rFonts w:eastAsiaTheme="majorEastAsia"/>
        </w:rPr>
        <w:t xml:space="preserve">Profit </w:t>
      </w:r>
      <w:proofErr w:type="gramStart"/>
      <w:r>
        <w:rPr>
          <w:rStyle w:val="Strong"/>
          <w:rFonts w:eastAsiaTheme="majorEastAsia"/>
        </w:rPr>
        <w:t>Over</w:t>
      </w:r>
      <w:proofErr w:type="gramEnd"/>
      <w:r>
        <w:rPr>
          <w:rStyle w:val="Strong"/>
          <w:rFonts w:eastAsiaTheme="majorEastAsia"/>
        </w:rPr>
        <w:t xml:space="preserve"> </w:t>
      </w:r>
      <w:r w:rsidR="00831B3B">
        <w:rPr>
          <w:rStyle w:val="Strong"/>
          <w:rFonts w:eastAsiaTheme="majorEastAsia"/>
        </w:rPr>
        <w:t>Ethics</w:t>
      </w:r>
      <w:r>
        <w:rPr>
          <w:rStyle w:val="Strong"/>
          <w:rFonts w:eastAsiaTheme="majorEastAsia"/>
        </w:rPr>
        <w:t>:</w:t>
      </w:r>
      <w:r>
        <w:t xml:space="preserve"> Global energy flows are profit-driven; for example, Ukraine imports diesel from Indian refineries using Russian crude.</w:t>
      </w:r>
    </w:p>
    <w:p w:rsidR="006913D6" w:rsidRDefault="006913D6" w:rsidP="006913D6">
      <w:pPr>
        <w:pStyle w:val="NormalWeb"/>
        <w:numPr>
          <w:ilvl w:val="0"/>
          <w:numId w:val="40"/>
        </w:numPr>
      </w:pPr>
      <w:r>
        <w:rPr>
          <w:rStyle w:val="Strong"/>
          <w:rFonts w:eastAsiaTheme="majorEastAsia"/>
        </w:rPr>
        <w:t>Trade Driven by Necessity:</w:t>
      </w:r>
      <w:r>
        <w:t xml:space="preserve"> Markets prioritize economic and operational considerations over political or moral arguments.</w:t>
      </w:r>
    </w:p>
    <w:p w:rsidR="006913D6" w:rsidRDefault="006913D6" w:rsidP="006913D6">
      <w:r>
        <w:pict>
          <v:rect id="_x0000_i1046" style="width:0;height:1.5pt" o:hralign="center" o:hrstd="t" o:hr="t" fillcolor="#a0a0a0" stroked="f"/>
        </w:pict>
      </w:r>
    </w:p>
    <w:p w:rsidR="006913D6" w:rsidRPr="00473E82" w:rsidRDefault="006913D6" w:rsidP="006913D6">
      <w:pPr>
        <w:pStyle w:val="Heading2"/>
        <w:rPr>
          <w:color w:val="000000" w:themeColor="text1"/>
        </w:rPr>
      </w:pPr>
      <w:r w:rsidRPr="00473E82">
        <w:rPr>
          <w:rStyle w:val="Strong"/>
          <w:b/>
          <w:bCs/>
          <w:color w:val="000000" w:themeColor="text1"/>
        </w:rPr>
        <w:t>6. Research Questions</w:t>
      </w:r>
    </w:p>
    <w:p w:rsidR="006913D6" w:rsidRDefault="006913D6" w:rsidP="006913D6">
      <w:pPr>
        <w:pStyle w:val="NormalWeb"/>
        <w:numPr>
          <w:ilvl w:val="0"/>
          <w:numId w:val="41"/>
        </w:numPr>
      </w:pPr>
      <w:r>
        <w:rPr>
          <w:rStyle w:val="Strong"/>
          <w:rFonts w:eastAsiaTheme="majorEastAsia"/>
        </w:rPr>
        <w:t>Economic &amp; Price Impact:</w:t>
      </w:r>
      <w:r>
        <w:t xml:space="preserve"> Did increased Russian oil purchases benefit India &amp; China and stabilize global prices?</w:t>
      </w:r>
    </w:p>
    <w:p w:rsidR="006913D6" w:rsidRDefault="006913D6" w:rsidP="006913D6">
      <w:pPr>
        <w:pStyle w:val="NormalWeb"/>
        <w:numPr>
          <w:ilvl w:val="0"/>
          <w:numId w:val="41"/>
        </w:numPr>
      </w:pPr>
      <w:r>
        <w:rPr>
          <w:rStyle w:val="Strong"/>
          <w:rFonts w:eastAsiaTheme="majorEastAsia"/>
        </w:rPr>
        <w:t>Geopolitical Implications:</w:t>
      </w:r>
      <w:r>
        <w:t xml:space="preserve"> How effective are sanctions when alternative buyers and complex trade routes exist?</w:t>
      </w:r>
    </w:p>
    <w:p w:rsidR="006913D6" w:rsidRDefault="006913D6" w:rsidP="006913D6">
      <w:pPr>
        <w:pStyle w:val="NormalWeb"/>
        <w:numPr>
          <w:ilvl w:val="0"/>
          <w:numId w:val="41"/>
        </w:numPr>
      </w:pPr>
      <w:r>
        <w:rPr>
          <w:rStyle w:val="Strong"/>
          <w:rFonts w:eastAsiaTheme="majorEastAsia"/>
        </w:rPr>
        <w:t>Market Morality:</w:t>
      </w:r>
      <w:r>
        <w:t xml:space="preserve"> Does the reality of global trade—where even nations in conflict prioritize cost—challenge the moral framing of energy sanctions?</w:t>
      </w:r>
    </w:p>
    <w:p w:rsidR="00557182" w:rsidRDefault="00FE1EDD" w:rsidP="00F75BCB">
      <w:pPr>
        <w:jc w:val="both"/>
        <w:rPr>
          <w:b/>
          <w:sz w:val="32"/>
        </w:rPr>
      </w:pPr>
      <w:r>
        <w:rPr>
          <w:b/>
          <w:sz w:val="32"/>
        </w:rPr>
        <w:pict>
          <v:shape id="_x0000_i1040" type="#_x0000_t75" style="width:444.55pt;height:162.4pt">
            <v:imagedata r:id="rId8" o:title="oil background"/>
          </v:shape>
        </w:pict>
      </w:r>
    </w:p>
    <w:p w:rsidR="00557182" w:rsidRDefault="00557182" w:rsidP="00557182">
      <w:r>
        <w:br w:type="page"/>
      </w:r>
    </w:p>
    <w:p w:rsidR="00FF6B0C" w:rsidRDefault="00557182" w:rsidP="00F75BCB">
      <w:pPr>
        <w:jc w:val="both"/>
        <w:rPr>
          <w:b/>
          <w:sz w:val="40"/>
        </w:rPr>
      </w:pPr>
      <w:proofErr w:type="gramStart"/>
      <w:r w:rsidRPr="00214E6E">
        <w:rPr>
          <w:b/>
          <w:sz w:val="40"/>
        </w:rPr>
        <w:lastRenderedPageBreak/>
        <w:t>Section  -</w:t>
      </w:r>
      <w:proofErr w:type="gramEnd"/>
      <w:r w:rsidRPr="00214E6E">
        <w:rPr>
          <w:b/>
          <w:sz w:val="40"/>
        </w:rPr>
        <w:t>1   Global Oil Price and Inflation Rate</w:t>
      </w:r>
    </w:p>
    <w:p w:rsidR="00214E6E" w:rsidRDefault="00214E6E" w:rsidP="00F75BCB">
      <w:pPr>
        <w:jc w:val="both"/>
        <w:rPr>
          <w:b/>
          <w:sz w:val="40"/>
        </w:rPr>
      </w:pPr>
    </w:p>
    <w:p w:rsidR="00B04B01" w:rsidRDefault="00B04B01" w:rsidP="00F75BCB">
      <w:pPr>
        <w:jc w:val="both"/>
        <w:rPr>
          <w:b/>
          <w:sz w:val="32"/>
        </w:rPr>
      </w:pPr>
      <w:r>
        <w:rPr>
          <w:b/>
          <w:sz w:val="32"/>
        </w:rPr>
        <w:t>1.1</w:t>
      </w:r>
      <w:r w:rsidRPr="00B04B01">
        <w:rPr>
          <w:b/>
          <w:sz w:val="32"/>
        </w:rPr>
        <w:t xml:space="preserve"> Crude Oil Price Comparison</w:t>
      </w:r>
    </w:p>
    <w:p w:rsidR="00B04B01" w:rsidRDefault="00B04B01" w:rsidP="00F75BCB">
      <w:pPr>
        <w:jc w:val="both"/>
        <w:rPr>
          <w:sz w:val="28"/>
          <w:szCs w:val="28"/>
        </w:rPr>
      </w:pPr>
      <w:r w:rsidRPr="00B04B01">
        <w:rPr>
          <w:sz w:val="28"/>
          <w:szCs w:val="28"/>
        </w:rPr>
        <w:t>“This chart compares the an</w:t>
      </w:r>
      <w:r w:rsidR="002B2C02">
        <w:rPr>
          <w:sz w:val="28"/>
          <w:szCs w:val="28"/>
        </w:rPr>
        <w:t>nual average crude oil prices of</w:t>
      </w:r>
      <w:r w:rsidRPr="00B04B01">
        <w:rPr>
          <w:sz w:val="28"/>
          <w:szCs w:val="28"/>
        </w:rPr>
        <w:t xml:space="preserve"> the global </w:t>
      </w:r>
      <w:r w:rsidR="002B2C02">
        <w:rPr>
          <w:sz w:val="28"/>
          <w:szCs w:val="28"/>
        </w:rPr>
        <w:t>Crude Oil Price and the USA Crude Oil Type Price</w:t>
      </w:r>
      <w:r w:rsidRPr="00B04B01">
        <w:rPr>
          <w:sz w:val="28"/>
          <w:szCs w:val="28"/>
        </w:rPr>
        <w:t xml:space="preserve"> from 2016 to 2025. It highlights how global events such as the COVID-19 pandemic and the Russia–Ukraine</w:t>
      </w:r>
      <w:r>
        <w:rPr>
          <w:sz w:val="28"/>
          <w:szCs w:val="28"/>
        </w:rPr>
        <w:t xml:space="preserve"> (2022)</w:t>
      </w:r>
      <w:r w:rsidRPr="00B04B01">
        <w:rPr>
          <w:sz w:val="28"/>
          <w:szCs w:val="28"/>
        </w:rPr>
        <w:t xml:space="preserve"> war impacted oil prices worldwide.</w:t>
      </w:r>
    </w:p>
    <w:p w:rsidR="00A54C82" w:rsidRPr="005D5BCB" w:rsidRDefault="00A54C82" w:rsidP="005D5BCB">
      <w:pPr>
        <w:jc w:val="both"/>
        <w:rPr>
          <w:sz w:val="28"/>
          <w:szCs w:val="28"/>
        </w:rPr>
      </w:pPr>
      <w:r>
        <w:rPr>
          <w:sz w:val="28"/>
          <w:szCs w:val="28"/>
        </w:rPr>
        <w:t xml:space="preserve">                                  </w:t>
      </w:r>
      <w:r w:rsidR="003138E5">
        <w:rPr>
          <w:sz w:val="28"/>
          <w:szCs w:val="28"/>
        </w:rPr>
        <w:pict>
          <v:shape id="_x0000_i1026" type="#_x0000_t75" style="width:445.4pt;height:258.7pt">
            <v:imagedata r:id="rId9" o:title="Crude oil compare column chat, with markers covid"/>
          </v:shape>
        </w:pict>
      </w:r>
      <w:r>
        <w:rPr>
          <w:rStyle w:val="Strong"/>
        </w:rPr>
        <w:t>Figure 1:</w:t>
      </w:r>
      <w:r>
        <w:t xml:space="preserve"> </w:t>
      </w:r>
      <w:r>
        <w:rPr>
          <w:rStyle w:val="Emphasis"/>
        </w:rPr>
        <w:t xml:space="preserve">Global </w:t>
      </w:r>
      <w:r w:rsidR="005D5BCB">
        <w:rPr>
          <w:rStyle w:val="Emphasis"/>
        </w:rPr>
        <w:t>vs.</w:t>
      </w:r>
      <w:r>
        <w:rPr>
          <w:rStyle w:val="Emphasis"/>
        </w:rPr>
        <w:t xml:space="preserve"> USA Crude Oil Prices (clustered columns), 2016–2025. Event markers highlight COVID-19 (2020) and Russia–Ukraine War (2022).</w:t>
      </w:r>
    </w:p>
    <w:p w:rsidR="00FE1EDD" w:rsidRDefault="00FE1EDD" w:rsidP="00FE1EDD">
      <w:pPr>
        <w:jc w:val="both"/>
        <w:rPr>
          <w:rStyle w:val="Emphasis"/>
          <w:b/>
          <w:sz w:val="28"/>
        </w:rPr>
      </w:pPr>
    </w:p>
    <w:p w:rsidR="00FE1EDD" w:rsidRPr="00AD29D7" w:rsidRDefault="00AD29D7" w:rsidP="00AD29D7">
      <w:pPr>
        <w:pStyle w:val="Heading3"/>
        <w:rPr>
          <w:color w:val="000000" w:themeColor="text1"/>
          <w:sz w:val="28"/>
        </w:rPr>
      </w:pPr>
      <w:r w:rsidRPr="00891C07">
        <w:rPr>
          <w:rStyle w:val="Strong"/>
          <w:b/>
          <w:bCs/>
          <w:color w:val="000000" w:themeColor="text1"/>
          <w:sz w:val="28"/>
        </w:rPr>
        <w:t>Key Insights &amp; Trends</w:t>
      </w:r>
    </w:p>
    <w:p w:rsidR="00B04B01" w:rsidRPr="00B04B01" w:rsidRDefault="00B04B01" w:rsidP="00B04B01">
      <w:pPr>
        <w:spacing w:before="100" w:beforeAutospacing="1" w:after="100" w:afterAutospacing="1" w:line="240" w:lineRule="auto"/>
        <w:rPr>
          <w:rFonts w:ascii="Times New Roman" w:eastAsia="Times New Roman" w:hAnsi="Times New Roman" w:cs="Times New Roman"/>
          <w:sz w:val="28"/>
          <w:szCs w:val="28"/>
          <w:lang w:eastAsia="en-IN"/>
        </w:rPr>
      </w:pPr>
      <w:r w:rsidRPr="00B04B01">
        <w:rPr>
          <w:rFonts w:ascii="Times New Roman" w:eastAsia="Times New Roman" w:hAnsi="Symbol" w:cs="Times New Roman"/>
          <w:sz w:val="28"/>
          <w:szCs w:val="28"/>
          <w:lang w:eastAsia="en-IN"/>
        </w:rPr>
        <w:t></w:t>
      </w:r>
      <w:r w:rsidRPr="00B04B01">
        <w:rPr>
          <w:rFonts w:ascii="Times New Roman" w:eastAsia="Times New Roman" w:hAnsi="Times New Roman" w:cs="Times New Roman"/>
          <w:sz w:val="28"/>
          <w:szCs w:val="28"/>
          <w:lang w:eastAsia="en-IN"/>
        </w:rPr>
        <w:t xml:space="preserve">  “Global and US crude prices follow a similar trend, though the US </w:t>
      </w:r>
      <w:r>
        <w:rPr>
          <w:rFonts w:ascii="Times New Roman" w:eastAsia="Times New Roman" w:hAnsi="Times New Roman" w:cs="Times New Roman"/>
          <w:sz w:val="28"/>
          <w:szCs w:val="28"/>
          <w:lang w:eastAsia="en-IN"/>
        </w:rPr>
        <w:t xml:space="preserve">Crude </w:t>
      </w:r>
      <w:r w:rsidR="009370E2">
        <w:rPr>
          <w:rFonts w:ascii="Times New Roman" w:eastAsia="Times New Roman" w:hAnsi="Times New Roman" w:cs="Times New Roman"/>
          <w:sz w:val="28"/>
          <w:szCs w:val="28"/>
          <w:lang w:eastAsia="en-IN"/>
        </w:rPr>
        <w:t xml:space="preserve">oil Prices are High  Due to </w:t>
      </w:r>
      <w:r>
        <w:rPr>
          <w:rFonts w:ascii="Times New Roman" w:eastAsia="Times New Roman" w:hAnsi="Times New Roman" w:cs="Times New Roman"/>
          <w:sz w:val="28"/>
          <w:szCs w:val="28"/>
          <w:lang w:eastAsia="en-IN"/>
        </w:rPr>
        <w:t>Extraction Cost is High(50 -60$ per Barrel)</w:t>
      </w:r>
      <w:r w:rsidRPr="00B04B01">
        <w:rPr>
          <w:rFonts w:ascii="Times New Roman" w:eastAsia="Times New Roman" w:hAnsi="Times New Roman" w:cs="Times New Roman"/>
          <w:sz w:val="28"/>
          <w:szCs w:val="28"/>
          <w:lang w:eastAsia="en-IN"/>
        </w:rPr>
        <w:t>.”</w:t>
      </w:r>
    </w:p>
    <w:p w:rsidR="00B04B01" w:rsidRPr="00B04B01" w:rsidRDefault="00B04B01" w:rsidP="00B04B01">
      <w:p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sidRPr="00B04B01">
        <w:rPr>
          <w:rFonts w:ascii="Times New Roman" w:eastAsia="Times New Roman" w:hAnsi="Symbol" w:cs="Times New Roman"/>
          <w:sz w:val="28"/>
          <w:szCs w:val="28"/>
          <w:lang w:eastAsia="en-IN"/>
        </w:rPr>
        <w:t></w:t>
      </w:r>
      <w:r w:rsidRPr="00B04B01">
        <w:rPr>
          <w:rFonts w:ascii="Times New Roman" w:eastAsia="Times New Roman" w:hAnsi="Times New Roman" w:cs="Times New Roman"/>
          <w:sz w:val="28"/>
          <w:szCs w:val="28"/>
          <w:lang w:eastAsia="en-IN"/>
        </w:rPr>
        <w:t xml:space="preserve">  “</w:t>
      </w:r>
      <w:proofErr w:type="gramEnd"/>
      <w:r w:rsidRPr="00B04B01">
        <w:rPr>
          <w:rFonts w:ascii="Times New Roman" w:eastAsia="Times New Roman" w:hAnsi="Times New Roman" w:cs="Times New Roman"/>
          <w:sz w:val="28"/>
          <w:szCs w:val="28"/>
          <w:lang w:eastAsia="en-IN"/>
        </w:rPr>
        <w:t>Prices dipped sharply in 2020 during COVID-19, followed by a steep rebound in 2022 due to geopolitical tensions.”</w:t>
      </w:r>
      <w:proofErr w:type="gramStart"/>
      <w:r w:rsidRPr="00B04B01">
        <w:rPr>
          <w:rFonts w:ascii="Times New Roman" w:eastAsia="Times New Roman" w:hAnsi="Symbol" w:cs="Times New Roman"/>
          <w:sz w:val="28"/>
          <w:szCs w:val="28"/>
          <w:lang w:eastAsia="en-IN"/>
        </w:rPr>
        <w:t></w:t>
      </w:r>
      <w:r w:rsidRPr="00B04B01">
        <w:rPr>
          <w:rFonts w:ascii="Times New Roman" w:eastAsia="Times New Roman" w:hAnsi="Times New Roman" w:cs="Times New Roman"/>
          <w:sz w:val="28"/>
          <w:szCs w:val="28"/>
          <w:lang w:eastAsia="en-IN"/>
        </w:rPr>
        <w:t xml:space="preserve">  “</w:t>
      </w:r>
      <w:proofErr w:type="gramEnd"/>
      <w:r w:rsidRPr="00B04B01">
        <w:rPr>
          <w:rFonts w:ascii="Times New Roman" w:eastAsia="Times New Roman" w:hAnsi="Times New Roman" w:cs="Times New Roman"/>
          <w:sz w:val="28"/>
          <w:szCs w:val="28"/>
          <w:lang w:eastAsia="en-IN"/>
        </w:rPr>
        <w:t>Event markers clearly indicate how global crises</w:t>
      </w:r>
      <w:r w:rsidR="009370E2">
        <w:rPr>
          <w:rFonts w:ascii="Times New Roman" w:eastAsia="Times New Roman" w:hAnsi="Times New Roman" w:cs="Times New Roman"/>
          <w:sz w:val="28"/>
          <w:szCs w:val="28"/>
          <w:lang w:eastAsia="en-IN"/>
        </w:rPr>
        <w:t xml:space="preserve"> and Events </w:t>
      </w:r>
      <w:r w:rsidRPr="00B04B01">
        <w:rPr>
          <w:rFonts w:ascii="Times New Roman" w:eastAsia="Times New Roman" w:hAnsi="Times New Roman" w:cs="Times New Roman"/>
          <w:sz w:val="28"/>
          <w:szCs w:val="28"/>
          <w:lang w:eastAsia="en-IN"/>
        </w:rPr>
        <w:t>influence crude prices.”</w:t>
      </w:r>
    </w:p>
    <w:p w:rsidR="00B04B01" w:rsidRDefault="00B04B01" w:rsidP="00F75BCB">
      <w:pPr>
        <w:jc w:val="both"/>
        <w:rPr>
          <w:sz w:val="28"/>
          <w:szCs w:val="28"/>
        </w:rPr>
      </w:pPr>
    </w:p>
    <w:p w:rsidR="00B04B01" w:rsidRPr="00B04B01" w:rsidRDefault="00B04B01" w:rsidP="00F75BCB">
      <w:pPr>
        <w:jc w:val="both"/>
        <w:rPr>
          <w:b/>
          <w:sz w:val="28"/>
          <w:szCs w:val="28"/>
        </w:rPr>
      </w:pPr>
    </w:p>
    <w:p w:rsidR="00A54C82" w:rsidRDefault="00A54C82" w:rsidP="00A54C82">
      <w:pPr>
        <w:jc w:val="both"/>
        <w:rPr>
          <w:b/>
          <w:sz w:val="32"/>
        </w:rPr>
      </w:pPr>
      <w:r>
        <w:rPr>
          <w:b/>
          <w:sz w:val="32"/>
        </w:rPr>
        <w:t xml:space="preserve">1.2 </w:t>
      </w:r>
      <w:r w:rsidRPr="00A54C82">
        <w:rPr>
          <w:b/>
          <w:sz w:val="32"/>
        </w:rPr>
        <w:t xml:space="preserve">Impact of Global Oil </w:t>
      </w:r>
      <w:r>
        <w:rPr>
          <w:b/>
          <w:sz w:val="32"/>
        </w:rPr>
        <w:t>Prices on Inflation (2016–2025)</w:t>
      </w:r>
    </w:p>
    <w:p w:rsidR="00A54C82" w:rsidRDefault="00A54C82" w:rsidP="00A54C82">
      <w:pPr>
        <w:jc w:val="both"/>
        <w:rPr>
          <w:sz w:val="28"/>
        </w:rPr>
      </w:pPr>
      <w:r w:rsidRPr="00A54C82">
        <w:rPr>
          <w:sz w:val="28"/>
        </w:rPr>
        <w:t xml:space="preserve">This subsection analyses the relationship between </w:t>
      </w:r>
      <w:r w:rsidRPr="00A54C82">
        <w:rPr>
          <w:rStyle w:val="Strong"/>
          <w:sz w:val="28"/>
        </w:rPr>
        <w:t>global oil prices</w:t>
      </w:r>
      <w:r w:rsidRPr="00A54C82">
        <w:rPr>
          <w:sz w:val="28"/>
        </w:rPr>
        <w:t xml:space="preserve"> and the </w:t>
      </w:r>
      <w:r w:rsidRPr="00A54C82">
        <w:rPr>
          <w:rStyle w:val="Strong"/>
          <w:sz w:val="28"/>
        </w:rPr>
        <w:t>global inflation rate</w:t>
      </w:r>
      <w:r w:rsidRPr="00A54C82">
        <w:rPr>
          <w:sz w:val="28"/>
        </w:rPr>
        <w:t xml:space="preserve"> over the period 2016–2025. Oil is a critical input for the global economy, and fluctuations in its price have direct and indirect effects on the cost of goods and services. By examining this period, we can understand how major events, such as the </w:t>
      </w:r>
      <w:r w:rsidRPr="00A54C82">
        <w:rPr>
          <w:rStyle w:val="Strong"/>
          <w:sz w:val="28"/>
        </w:rPr>
        <w:t>COVID-19 pandemic</w:t>
      </w:r>
      <w:r w:rsidRPr="00A54C82">
        <w:rPr>
          <w:sz w:val="28"/>
        </w:rPr>
        <w:t xml:space="preserve"> and the </w:t>
      </w:r>
      <w:r w:rsidRPr="00A54C82">
        <w:rPr>
          <w:rStyle w:val="Strong"/>
          <w:sz w:val="28"/>
        </w:rPr>
        <w:t>Russia–Ukraine war</w:t>
      </w:r>
      <w:r w:rsidRPr="00A54C82">
        <w:rPr>
          <w:sz w:val="28"/>
        </w:rPr>
        <w:t>, have influenced both energy markets and inflation globally.</w:t>
      </w:r>
    </w:p>
    <w:p w:rsidR="00A54C82" w:rsidRPr="00A54C82" w:rsidRDefault="003138E5" w:rsidP="00A54C82">
      <w:pPr>
        <w:jc w:val="both"/>
        <w:rPr>
          <w:sz w:val="28"/>
        </w:rPr>
      </w:pPr>
      <w:r>
        <w:rPr>
          <w:sz w:val="28"/>
        </w:rPr>
        <w:pict>
          <v:shape id="_x0000_i1027" type="#_x0000_t75" style="width:450.4pt;height:205.95pt">
            <v:imagedata r:id="rId10" o:title="Global Inflation vs Global Oil Price by Year"/>
          </v:shape>
        </w:pict>
      </w:r>
    </w:p>
    <w:p w:rsidR="00A54C82" w:rsidRDefault="00A54C82" w:rsidP="00A54C82">
      <w:pPr>
        <w:jc w:val="both"/>
        <w:rPr>
          <w:rStyle w:val="Emphasis"/>
        </w:rPr>
      </w:pPr>
      <w:r>
        <w:rPr>
          <w:b/>
          <w:sz w:val="36"/>
        </w:rPr>
        <w:t xml:space="preserve">   </w:t>
      </w:r>
      <w:r>
        <w:rPr>
          <w:rStyle w:val="Strong"/>
        </w:rPr>
        <w:t>Figure 2:</w:t>
      </w:r>
      <w:r>
        <w:t xml:space="preserve"> </w:t>
      </w:r>
      <w:r>
        <w:rPr>
          <w:rStyle w:val="Emphasis"/>
        </w:rPr>
        <w:t xml:space="preserve">Global Oil Prices (columns) </w:t>
      </w:r>
      <w:proofErr w:type="spellStart"/>
      <w:r>
        <w:rPr>
          <w:rStyle w:val="Emphasis"/>
        </w:rPr>
        <w:t>vs</w:t>
      </w:r>
      <w:proofErr w:type="spellEnd"/>
      <w:r>
        <w:rPr>
          <w:rStyle w:val="Emphasis"/>
        </w:rPr>
        <w:t xml:space="preserve"> Global Inflation Rate (line), 2016–2025. Event markers highlight COVID-19 (2020) and Russia–Ukraine War (2022).</w:t>
      </w:r>
    </w:p>
    <w:p w:rsidR="00A54C82" w:rsidRDefault="00A54C82" w:rsidP="00A54C82">
      <w:pPr>
        <w:jc w:val="both"/>
        <w:rPr>
          <w:rStyle w:val="Emphasis"/>
        </w:rPr>
      </w:pPr>
    </w:p>
    <w:p w:rsidR="00957176" w:rsidRDefault="003138E5" w:rsidP="00A54C82">
      <w:pPr>
        <w:jc w:val="both"/>
        <w:rPr>
          <w:rStyle w:val="Emphasis"/>
        </w:rPr>
      </w:pPr>
      <w:r>
        <w:rPr>
          <w:rStyle w:val="Emphasis"/>
        </w:rPr>
        <w:pict>
          <v:shape id="_x0000_i1028" type="#_x0000_t75" style="width:401.85pt;height:177.5pt">
            <v:imagedata r:id="rId11" o:title="Correlation Inflation and oil price"/>
          </v:shape>
        </w:pict>
      </w:r>
      <w:r w:rsidR="00957176">
        <w:rPr>
          <w:rStyle w:val="Emphasis"/>
        </w:rPr>
        <w:t xml:space="preserve">    </w:t>
      </w:r>
    </w:p>
    <w:p w:rsidR="00957176" w:rsidRDefault="00957176" w:rsidP="00A54C82">
      <w:pPr>
        <w:jc w:val="both"/>
        <w:rPr>
          <w:rStyle w:val="Emphasis"/>
        </w:rPr>
      </w:pPr>
      <w:r>
        <w:rPr>
          <w:rStyle w:val="Strong"/>
        </w:rPr>
        <w:lastRenderedPageBreak/>
        <w:t>Figure 3:</w:t>
      </w:r>
      <w:r>
        <w:t xml:space="preserve"> </w:t>
      </w:r>
      <w:r>
        <w:rPr>
          <w:rStyle w:val="Emphasis"/>
        </w:rPr>
        <w:t>Correlation matrix showing the relationship between Global Oil Prices and Global Inflation Rate (2016–2025). The correlation coefficient is 0.87, indicating a strong positive relationship.</w:t>
      </w:r>
    </w:p>
    <w:p w:rsidR="00FE1EDD" w:rsidRPr="00891C07" w:rsidRDefault="00FE1EDD" w:rsidP="00FE1EDD">
      <w:pPr>
        <w:pStyle w:val="Heading3"/>
        <w:rPr>
          <w:color w:val="000000" w:themeColor="text1"/>
          <w:sz w:val="28"/>
        </w:rPr>
      </w:pPr>
      <w:r w:rsidRPr="00891C07">
        <w:rPr>
          <w:rStyle w:val="Strong"/>
          <w:b/>
          <w:bCs/>
          <w:color w:val="000000" w:themeColor="text1"/>
          <w:sz w:val="28"/>
        </w:rPr>
        <w:t>Key Insights &amp; Trends</w:t>
      </w:r>
    </w:p>
    <w:p w:rsidR="00A54C82" w:rsidRPr="00A54C82" w:rsidRDefault="00A54C82" w:rsidP="00A54C82">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A54C82">
        <w:rPr>
          <w:rFonts w:ascii="Times New Roman" w:eastAsia="Times New Roman" w:hAnsi="Symbol" w:cs="Times New Roman"/>
          <w:sz w:val="24"/>
          <w:szCs w:val="24"/>
          <w:lang w:eastAsia="en-IN"/>
        </w:rPr>
        <w:t></w:t>
      </w:r>
      <w:r w:rsidRPr="00A54C82">
        <w:rPr>
          <w:rFonts w:ascii="Times New Roman" w:eastAsia="Times New Roman" w:hAnsi="Times New Roman" w:cs="Times New Roman"/>
          <w:sz w:val="24"/>
          <w:szCs w:val="24"/>
          <w:lang w:eastAsia="en-IN"/>
        </w:rPr>
        <w:t xml:space="preserve">  </w:t>
      </w:r>
      <w:r w:rsidRPr="00A54C82">
        <w:rPr>
          <w:rFonts w:ascii="Times New Roman" w:eastAsia="Times New Roman" w:hAnsi="Times New Roman" w:cs="Times New Roman"/>
          <w:b/>
          <w:bCs/>
          <w:sz w:val="24"/>
          <w:szCs w:val="24"/>
          <w:lang w:eastAsia="en-IN"/>
        </w:rPr>
        <w:t>COVID</w:t>
      </w:r>
      <w:proofErr w:type="gramEnd"/>
      <w:r w:rsidRPr="00A54C82">
        <w:rPr>
          <w:rFonts w:ascii="Times New Roman" w:eastAsia="Times New Roman" w:hAnsi="Times New Roman" w:cs="Times New Roman"/>
          <w:b/>
          <w:bCs/>
          <w:sz w:val="24"/>
          <w:szCs w:val="24"/>
          <w:lang w:eastAsia="en-IN"/>
        </w:rPr>
        <w:t>-19 impact (2020):</w:t>
      </w:r>
      <w:r w:rsidRPr="00A54C82">
        <w:rPr>
          <w:rFonts w:ascii="Times New Roman" w:eastAsia="Times New Roman" w:hAnsi="Times New Roman" w:cs="Times New Roman"/>
          <w:sz w:val="24"/>
          <w:szCs w:val="24"/>
          <w:lang w:eastAsia="en-IN"/>
        </w:rPr>
        <w:t xml:space="preserve"> Global oil prices dropped sharply during the pandemic due to reduced demand, leading to subdued inflationary pressures worldwide.</w:t>
      </w:r>
    </w:p>
    <w:p w:rsidR="00A54C82" w:rsidRPr="00A54C82" w:rsidRDefault="00A54C82" w:rsidP="00A54C82">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A54C82">
        <w:rPr>
          <w:rFonts w:ascii="Times New Roman" w:eastAsia="Times New Roman" w:hAnsi="Symbol" w:cs="Times New Roman"/>
          <w:sz w:val="24"/>
          <w:szCs w:val="24"/>
          <w:lang w:eastAsia="en-IN"/>
        </w:rPr>
        <w:t></w:t>
      </w:r>
      <w:r w:rsidRPr="00A54C82">
        <w:rPr>
          <w:rFonts w:ascii="Times New Roman" w:eastAsia="Times New Roman" w:hAnsi="Times New Roman" w:cs="Times New Roman"/>
          <w:sz w:val="24"/>
          <w:szCs w:val="24"/>
          <w:lang w:eastAsia="en-IN"/>
        </w:rPr>
        <w:t xml:space="preserve">  </w:t>
      </w:r>
      <w:r w:rsidRPr="00A54C82">
        <w:rPr>
          <w:rFonts w:ascii="Times New Roman" w:eastAsia="Times New Roman" w:hAnsi="Times New Roman" w:cs="Times New Roman"/>
          <w:b/>
          <w:bCs/>
          <w:sz w:val="24"/>
          <w:szCs w:val="24"/>
          <w:lang w:eastAsia="en-IN"/>
        </w:rPr>
        <w:t>Russia</w:t>
      </w:r>
      <w:proofErr w:type="gramEnd"/>
      <w:r w:rsidRPr="00A54C82">
        <w:rPr>
          <w:rFonts w:ascii="Times New Roman" w:eastAsia="Times New Roman" w:hAnsi="Times New Roman" w:cs="Times New Roman"/>
          <w:b/>
          <w:bCs/>
          <w:sz w:val="24"/>
          <w:szCs w:val="24"/>
          <w:lang w:eastAsia="en-IN"/>
        </w:rPr>
        <w:t>–Ukraine war (2022):</w:t>
      </w:r>
      <w:r w:rsidRPr="00A54C82">
        <w:rPr>
          <w:rFonts w:ascii="Times New Roman" w:eastAsia="Times New Roman" w:hAnsi="Times New Roman" w:cs="Times New Roman"/>
          <w:sz w:val="24"/>
          <w:szCs w:val="24"/>
          <w:lang w:eastAsia="en-IN"/>
        </w:rPr>
        <w:t xml:space="preserve"> Oil prices surged significantly, driving a spike in global inflation rates, illustrating the sensitivity of inflation to energy costs.</w:t>
      </w:r>
    </w:p>
    <w:p w:rsidR="00A54C82" w:rsidRPr="00A54C82" w:rsidRDefault="00A54C82" w:rsidP="00A54C82">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A54C82">
        <w:rPr>
          <w:rFonts w:ascii="Times New Roman" w:eastAsia="Times New Roman" w:hAnsi="Symbol" w:cs="Times New Roman"/>
          <w:sz w:val="24"/>
          <w:szCs w:val="24"/>
          <w:lang w:eastAsia="en-IN"/>
        </w:rPr>
        <w:t></w:t>
      </w:r>
      <w:r w:rsidRPr="00A54C82">
        <w:rPr>
          <w:rFonts w:ascii="Times New Roman" w:eastAsia="Times New Roman" w:hAnsi="Times New Roman" w:cs="Times New Roman"/>
          <w:sz w:val="24"/>
          <w:szCs w:val="24"/>
          <w:lang w:eastAsia="en-IN"/>
        </w:rPr>
        <w:t xml:space="preserve">  </w:t>
      </w:r>
      <w:r w:rsidRPr="00A54C82">
        <w:rPr>
          <w:rFonts w:ascii="Times New Roman" w:eastAsia="Times New Roman" w:hAnsi="Times New Roman" w:cs="Times New Roman"/>
          <w:b/>
          <w:bCs/>
          <w:sz w:val="24"/>
          <w:szCs w:val="24"/>
          <w:lang w:eastAsia="en-IN"/>
        </w:rPr>
        <w:t>Overall</w:t>
      </w:r>
      <w:proofErr w:type="gramEnd"/>
      <w:r w:rsidRPr="00A54C82">
        <w:rPr>
          <w:rFonts w:ascii="Times New Roman" w:eastAsia="Times New Roman" w:hAnsi="Times New Roman" w:cs="Times New Roman"/>
          <w:b/>
          <w:bCs/>
          <w:sz w:val="24"/>
          <w:szCs w:val="24"/>
          <w:lang w:eastAsia="en-IN"/>
        </w:rPr>
        <w:t xml:space="preserve"> correlation:</w:t>
      </w:r>
      <w:r w:rsidRPr="00A54C82">
        <w:rPr>
          <w:rFonts w:ascii="Times New Roman" w:eastAsia="Times New Roman" w:hAnsi="Times New Roman" w:cs="Times New Roman"/>
          <w:sz w:val="24"/>
          <w:szCs w:val="24"/>
          <w:lang w:eastAsia="en-IN"/>
        </w:rPr>
        <w:t xml:space="preserve"> There is a strong positive correlation (</w:t>
      </w:r>
      <w:r w:rsidRPr="00A54C82">
        <w:rPr>
          <w:rFonts w:ascii="Times New Roman" w:eastAsia="Times New Roman" w:hAnsi="Times New Roman" w:cs="Times New Roman"/>
          <w:b/>
          <w:bCs/>
          <w:sz w:val="24"/>
          <w:szCs w:val="24"/>
          <w:lang w:eastAsia="en-IN"/>
        </w:rPr>
        <w:t>r = 0.87</w:t>
      </w:r>
      <w:r w:rsidRPr="00A54C82">
        <w:rPr>
          <w:rFonts w:ascii="Times New Roman" w:eastAsia="Times New Roman" w:hAnsi="Times New Roman" w:cs="Times New Roman"/>
          <w:sz w:val="24"/>
          <w:szCs w:val="24"/>
          <w:lang w:eastAsia="en-IN"/>
        </w:rPr>
        <w:t>) between global oil prices and global inflation, indicating that oil price movements are a major driver of global inflation.</w:t>
      </w:r>
    </w:p>
    <w:p w:rsidR="00A54C82" w:rsidRPr="00A54C82" w:rsidRDefault="00A54C82" w:rsidP="00A54C82">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A54C82">
        <w:rPr>
          <w:rFonts w:ascii="Times New Roman" w:eastAsia="Times New Roman" w:hAnsi="Symbol" w:cs="Times New Roman"/>
          <w:sz w:val="24"/>
          <w:szCs w:val="24"/>
          <w:lang w:eastAsia="en-IN"/>
        </w:rPr>
        <w:t></w:t>
      </w:r>
      <w:r w:rsidRPr="00A54C82">
        <w:rPr>
          <w:rFonts w:ascii="Times New Roman" w:eastAsia="Times New Roman" w:hAnsi="Times New Roman" w:cs="Times New Roman"/>
          <w:sz w:val="24"/>
          <w:szCs w:val="24"/>
          <w:lang w:eastAsia="en-IN"/>
        </w:rPr>
        <w:t xml:space="preserve">  </w:t>
      </w:r>
      <w:r w:rsidRPr="00A54C82">
        <w:rPr>
          <w:rFonts w:ascii="Times New Roman" w:eastAsia="Times New Roman" w:hAnsi="Times New Roman" w:cs="Times New Roman"/>
          <w:b/>
          <w:bCs/>
          <w:sz w:val="24"/>
          <w:szCs w:val="24"/>
          <w:lang w:eastAsia="en-IN"/>
        </w:rPr>
        <w:t>Trend</w:t>
      </w:r>
      <w:proofErr w:type="gramEnd"/>
      <w:r w:rsidRPr="00A54C82">
        <w:rPr>
          <w:rFonts w:ascii="Times New Roman" w:eastAsia="Times New Roman" w:hAnsi="Times New Roman" w:cs="Times New Roman"/>
          <w:b/>
          <w:bCs/>
          <w:sz w:val="24"/>
          <w:szCs w:val="24"/>
          <w:lang w:eastAsia="en-IN"/>
        </w:rPr>
        <w:t xml:space="preserve"> pattern:</w:t>
      </w:r>
      <w:r w:rsidRPr="00A54C82">
        <w:rPr>
          <w:rFonts w:ascii="Times New Roman" w:eastAsia="Times New Roman" w:hAnsi="Times New Roman" w:cs="Times New Roman"/>
          <w:sz w:val="24"/>
          <w:szCs w:val="24"/>
          <w:lang w:eastAsia="en-IN"/>
        </w:rPr>
        <w:t xml:space="preserve"> Periods of relative oil price stability (2016–2019, 2023–2025) correspond to moderate and stable inflation trends, while shocks in 2020 and 2022 align with sharp inflation fluctuations.</w:t>
      </w:r>
    </w:p>
    <w:p w:rsidR="00A54C82" w:rsidRPr="00A54C82" w:rsidRDefault="00A54C82" w:rsidP="00A54C82">
      <w:pPr>
        <w:jc w:val="both"/>
        <w:rPr>
          <w:b/>
          <w:sz w:val="36"/>
        </w:rPr>
      </w:pPr>
    </w:p>
    <w:p w:rsidR="009370E2" w:rsidRDefault="009370E2" w:rsidP="009370E2">
      <w:pPr>
        <w:jc w:val="both"/>
        <w:rPr>
          <w:b/>
          <w:sz w:val="32"/>
        </w:rPr>
      </w:pPr>
    </w:p>
    <w:p w:rsidR="009370E2" w:rsidRDefault="009370E2" w:rsidP="009370E2">
      <w:pPr>
        <w:jc w:val="both"/>
        <w:rPr>
          <w:b/>
          <w:sz w:val="32"/>
        </w:rPr>
      </w:pPr>
    </w:p>
    <w:p w:rsidR="009370E2" w:rsidRDefault="009370E2" w:rsidP="009370E2">
      <w:pPr>
        <w:jc w:val="both"/>
        <w:rPr>
          <w:b/>
          <w:sz w:val="32"/>
        </w:rPr>
      </w:pPr>
    </w:p>
    <w:p w:rsidR="00B04B01" w:rsidRDefault="00B04B01" w:rsidP="00F75BCB">
      <w:pPr>
        <w:jc w:val="both"/>
        <w:rPr>
          <w:b/>
          <w:sz w:val="32"/>
        </w:rPr>
      </w:pPr>
    </w:p>
    <w:p w:rsidR="00B04B01" w:rsidRDefault="00B04B01" w:rsidP="00F75BCB">
      <w:pPr>
        <w:jc w:val="both"/>
        <w:rPr>
          <w:b/>
          <w:sz w:val="32"/>
        </w:rPr>
      </w:pPr>
    </w:p>
    <w:p w:rsidR="004B3042" w:rsidRDefault="004B3042" w:rsidP="00F75BCB">
      <w:pPr>
        <w:jc w:val="both"/>
        <w:rPr>
          <w:b/>
          <w:sz w:val="52"/>
        </w:rPr>
      </w:pPr>
    </w:p>
    <w:p w:rsidR="004B3042" w:rsidRPr="004B3042" w:rsidRDefault="004B3042" w:rsidP="004B3042">
      <w:pPr>
        <w:rPr>
          <w:sz w:val="52"/>
        </w:rPr>
      </w:pPr>
    </w:p>
    <w:p w:rsidR="004B3042" w:rsidRPr="004B3042" w:rsidRDefault="004B3042" w:rsidP="004B3042">
      <w:pPr>
        <w:rPr>
          <w:sz w:val="52"/>
        </w:rPr>
      </w:pPr>
    </w:p>
    <w:p w:rsidR="004B3042" w:rsidRPr="004B3042" w:rsidRDefault="004B3042" w:rsidP="004B3042">
      <w:pPr>
        <w:rPr>
          <w:sz w:val="52"/>
        </w:rPr>
      </w:pPr>
    </w:p>
    <w:p w:rsidR="004B3042" w:rsidRDefault="004B3042" w:rsidP="004B3042">
      <w:pPr>
        <w:ind w:firstLine="720"/>
        <w:rPr>
          <w:sz w:val="52"/>
        </w:rPr>
      </w:pPr>
    </w:p>
    <w:p w:rsidR="00B04B01" w:rsidRPr="00FE1EDD" w:rsidRDefault="004B3042" w:rsidP="00D16D5D">
      <w:r>
        <w:br w:type="page"/>
      </w:r>
      <w:r w:rsidR="00D16D5D" w:rsidRPr="00D16D5D">
        <w:rPr>
          <w:b/>
          <w:sz w:val="40"/>
        </w:rPr>
        <w:lastRenderedPageBreak/>
        <w:t>Section 2: India and China Oil Imports (2016–2024)</w:t>
      </w:r>
    </w:p>
    <w:p w:rsidR="00D16D5D" w:rsidRDefault="00D16D5D" w:rsidP="00D16D5D">
      <w:pPr>
        <w:rPr>
          <w:b/>
          <w:sz w:val="36"/>
        </w:rPr>
      </w:pPr>
    </w:p>
    <w:p w:rsidR="00D16D5D" w:rsidRDefault="00D16D5D" w:rsidP="00D16D5D">
      <w:pPr>
        <w:rPr>
          <w:b/>
          <w:sz w:val="36"/>
        </w:rPr>
      </w:pPr>
      <w:r w:rsidRPr="00D16D5D">
        <w:rPr>
          <w:b/>
          <w:sz w:val="36"/>
        </w:rPr>
        <w:t>2.1 India Oil Imports</w:t>
      </w:r>
    </w:p>
    <w:p w:rsidR="00D16D5D" w:rsidRDefault="00D16D5D" w:rsidP="00D16D5D">
      <w:pPr>
        <w:rPr>
          <w:sz w:val="28"/>
        </w:rPr>
      </w:pPr>
      <w:r w:rsidRPr="00D16D5D">
        <w:rPr>
          <w:sz w:val="28"/>
        </w:rPr>
        <w:t>India is one of the world’s largest crude oil importers, heavily dependent on international suppliers to meet its energy needs. Between 2016 and 2024, India’s oil imports were influenced by global price shocks, domestic demand cycles, and shifting trade partnerships.</w:t>
      </w:r>
    </w:p>
    <w:p w:rsidR="00D16D5D" w:rsidRDefault="00D16D5D" w:rsidP="00D16D5D">
      <w:pPr>
        <w:rPr>
          <w:sz w:val="28"/>
        </w:rPr>
      </w:pPr>
    </w:p>
    <w:p w:rsidR="00D16D5D" w:rsidRDefault="003138E5" w:rsidP="00D16D5D">
      <w:pPr>
        <w:rPr>
          <w:sz w:val="28"/>
        </w:rPr>
      </w:pPr>
      <w:r>
        <w:rPr>
          <w:sz w:val="28"/>
        </w:rPr>
        <w:pict>
          <v:shape id="_x0000_i1029" type="#_x0000_t75" style="width:467.15pt;height:242.8pt">
            <v:imagedata r:id="rId12" o:title="india total cost vs tota lqty 2016-24"/>
          </v:shape>
        </w:pict>
      </w:r>
    </w:p>
    <w:p w:rsidR="00D16D5D" w:rsidRDefault="00D16D5D" w:rsidP="00D16D5D">
      <w:r>
        <w:t>Figure 4: India’s Oil Import Cost (USD) vs. Quantity (Million Barrels), 2016–2024. COVID-19 (2020) lowered costs, while the Russia–Ukraine War (2022) drove prices to ~$113/barrel. Note: 2025 data is partial (till August).</w:t>
      </w:r>
    </w:p>
    <w:p w:rsidR="00891C07" w:rsidRDefault="00891C07" w:rsidP="00D16D5D"/>
    <w:p w:rsidR="00891C07" w:rsidRDefault="00891C07" w:rsidP="00D16D5D"/>
    <w:p w:rsidR="00891C07" w:rsidRDefault="00891C07" w:rsidP="00D16D5D"/>
    <w:p w:rsidR="00D16D5D" w:rsidRPr="00D16D5D" w:rsidRDefault="00891C07" w:rsidP="00D16D5D">
      <w:pPr>
        <w:rPr>
          <w:b/>
          <w:sz w:val="36"/>
        </w:rPr>
      </w:pPr>
      <w:r>
        <w:rPr>
          <w:b/>
          <w:noProof/>
          <w:sz w:val="36"/>
          <w:lang w:eastAsia="en-IN"/>
        </w:rPr>
        <w:lastRenderedPageBreak/>
        <w:drawing>
          <wp:inline distT="0" distB="0" distL="0" distR="0" wp14:anchorId="77DC7C2B" wp14:editId="60948098">
            <wp:extent cx="5613991" cy="3007593"/>
            <wp:effectExtent l="0" t="0" r="6350" b="2540"/>
            <wp:docPr id="1" name="Picture 1" descr="C:\Users\DELL\AppData\Local\Microsoft\Windows\INetCache\Content.Word\India stacked colmn percentage 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India stacked colmn percentage sha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919" cy="3007554"/>
                    </a:xfrm>
                    <a:prstGeom prst="rect">
                      <a:avLst/>
                    </a:prstGeom>
                    <a:noFill/>
                    <a:ln>
                      <a:noFill/>
                    </a:ln>
                  </pic:spPr>
                </pic:pic>
              </a:graphicData>
            </a:graphic>
          </wp:inline>
        </w:drawing>
      </w:r>
    </w:p>
    <w:p w:rsidR="00891C07" w:rsidRDefault="00891C07" w:rsidP="00D16D5D">
      <w:r>
        <w:t>Figure 5: India’s Oil Importer Share (%), 2016–2024. Saudi Arabia was the leading supplier until 2021, after which discounted Russian oil boosted Russia’s share to ~37% in 2024, making it India’s top supplier.</w:t>
      </w:r>
    </w:p>
    <w:p w:rsidR="00891C07" w:rsidRDefault="00891C07" w:rsidP="00891C07">
      <w:pPr>
        <w:pStyle w:val="Heading3"/>
        <w:rPr>
          <w:rStyle w:val="Strong"/>
          <w:b/>
          <w:bCs/>
          <w:color w:val="000000" w:themeColor="text1"/>
          <w:sz w:val="28"/>
        </w:rPr>
      </w:pPr>
    </w:p>
    <w:p w:rsidR="00891C07" w:rsidRPr="00891C07" w:rsidRDefault="00891C07" w:rsidP="00891C07">
      <w:pPr>
        <w:pStyle w:val="Heading3"/>
        <w:rPr>
          <w:color w:val="000000" w:themeColor="text1"/>
          <w:sz w:val="28"/>
        </w:rPr>
      </w:pPr>
      <w:r w:rsidRPr="00891C07">
        <w:rPr>
          <w:rStyle w:val="Strong"/>
          <w:b/>
          <w:bCs/>
          <w:color w:val="000000" w:themeColor="text1"/>
          <w:sz w:val="28"/>
        </w:rPr>
        <w:t>Key Insights &amp; Trends</w:t>
      </w:r>
    </w:p>
    <w:p w:rsidR="004D068E" w:rsidRPr="004D068E" w:rsidRDefault="00891C07" w:rsidP="004D068E">
      <w:pPr>
        <w:pStyle w:val="NormalWeb"/>
        <w:numPr>
          <w:ilvl w:val="0"/>
          <w:numId w:val="21"/>
        </w:numPr>
        <w:rPr>
          <w:sz w:val="28"/>
        </w:rPr>
      </w:pPr>
      <w:r w:rsidRPr="004D068E">
        <w:rPr>
          <w:rStyle w:val="Strong"/>
          <w:rFonts w:eastAsiaTheme="majorEastAsia"/>
          <w:sz w:val="28"/>
        </w:rPr>
        <w:t>COVID-19 (2020):</w:t>
      </w:r>
      <w:r w:rsidRPr="004D068E">
        <w:rPr>
          <w:sz w:val="28"/>
        </w:rPr>
        <w:t xml:space="preserve"> Global demand collapsed, lowering crude prices (~$20–30/barrel) and allowing India to import more oil at reduced cost.</w:t>
      </w:r>
    </w:p>
    <w:p w:rsidR="00891C07" w:rsidRPr="004D068E" w:rsidRDefault="00891C07" w:rsidP="00891C07">
      <w:pPr>
        <w:pStyle w:val="NormalWeb"/>
        <w:numPr>
          <w:ilvl w:val="0"/>
          <w:numId w:val="21"/>
        </w:numPr>
        <w:rPr>
          <w:sz w:val="28"/>
        </w:rPr>
      </w:pPr>
      <w:r w:rsidRPr="004D068E">
        <w:rPr>
          <w:rStyle w:val="Strong"/>
          <w:rFonts w:eastAsiaTheme="majorEastAsia"/>
          <w:sz w:val="28"/>
        </w:rPr>
        <w:t>Russia–Ukraine War (2022):</w:t>
      </w:r>
      <w:r w:rsidRPr="004D068E">
        <w:rPr>
          <w:sz w:val="28"/>
        </w:rPr>
        <w:t xml:space="preserve"> Crude prices spiked to ~$113/barrel, sharply increasing import costs, while import quantities remained relatively stable.</w:t>
      </w:r>
    </w:p>
    <w:p w:rsidR="00891C07" w:rsidRPr="004D068E" w:rsidRDefault="00891C07" w:rsidP="00891C07">
      <w:pPr>
        <w:pStyle w:val="NormalWeb"/>
        <w:numPr>
          <w:ilvl w:val="0"/>
          <w:numId w:val="21"/>
        </w:numPr>
        <w:rPr>
          <w:sz w:val="28"/>
        </w:rPr>
      </w:pPr>
      <w:r w:rsidRPr="004D068E">
        <w:rPr>
          <w:rStyle w:val="Strong"/>
          <w:rFonts w:eastAsiaTheme="majorEastAsia"/>
          <w:sz w:val="28"/>
        </w:rPr>
        <w:t>Post-2022 (Russian Discounts):</w:t>
      </w:r>
      <w:r w:rsidRPr="004D068E">
        <w:rPr>
          <w:sz w:val="28"/>
        </w:rPr>
        <w:t xml:space="preserve"> Russia offered discounted oil, which helped </w:t>
      </w:r>
      <w:r w:rsidRPr="004D068E">
        <w:rPr>
          <w:rStyle w:val="Strong"/>
          <w:rFonts w:eastAsiaTheme="majorEastAsia"/>
          <w:sz w:val="28"/>
        </w:rPr>
        <w:t>reduce India’s import costs</w:t>
      </w:r>
      <w:r w:rsidRPr="004D068E">
        <w:rPr>
          <w:sz w:val="28"/>
        </w:rPr>
        <w:t xml:space="preserve"> while maintaining or slightly increasing import volumes.</w:t>
      </w:r>
    </w:p>
    <w:p w:rsidR="00891C07" w:rsidRPr="004D068E" w:rsidRDefault="00891C07" w:rsidP="00891C07">
      <w:pPr>
        <w:pStyle w:val="NormalWeb"/>
        <w:numPr>
          <w:ilvl w:val="0"/>
          <w:numId w:val="21"/>
        </w:numPr>
        <w:rPr>
          <w:sz w:val="28"/>
        </w:rPr>
      </w:pPr>
      <w:r w:rsidRPr="004D068E">
        <w:rPr>
          <w:rStyle w:val="Strong"/>
          <w:rFonts w:eastAsiaTheme="majorEastAsia"/>
          <w:sz w:val="28"/>
        </w:rPr>
        <w:t>Supplier Shift:</w:t>
      </w:r>
      <w:r w:rsidRPr="004D068E">
        <w:rPr>
          <w:sz w:val="28"/>
        </w:rPr>
        <w:t xml:space="preserve"> Saudi Arabia</w:t>
      </w:r>
      <w:r w:rsidR="004D068E" w:rsidRPr="004D068E">
        <w:rPr>
          <w:sz w:val="28"/>
        </w:rPr>
        <w:t>, UAE and IRAQ</w:t>
      </w:r>
      <w:r w:rsidRPr="004D068E">
        <w:rPr>
          <w:sz w:val="28"/>
        </w:rPr>
        <w:t xml:space="preserve"> </w:t>
      </w:r>
      <w:r w:rsidR="004D068E">
        <w:rPr>
          <w:sz w:val="28"/>
        </w:rPr>
        <w:t>were</w:t>
      </w:r>
      <w:r w:rsidRPr="004D068E">
        <w:rPr>
          <w:sz w:val="28"/>
        </w:rPr>
        <w:t xml:space="preserve"> India’s top supplier</w:t>
      </w:r>
      <w:r w:rsidR="004D068E">
        <w:rPr>
          <w:sz w:val="28"/>
        </w:rPr>
        <w:t>s</w:t>
      </w:r>
      <w:r w:rsidRPr="004D068E">
        <w:rPr>
          <w:sz w:val="28"/>
        </w:rPr>
        <w:t xml:space="preserve"> until 2021; post-discounts, </w:t>
      </w:r>
      <w:r w:rsidRPr="004D068E">
        <w:rPr>
          <w:rStyle w:val="Strong"/>
          <w:rFonts w:eastAsiaTheme="majorEastAsia"/>
          <w:sz w:val="28"/>
        </w:rPr>
        <w:t>Russia’s share rose to ~37% in 2024</w:t>
      </w:r>
      <w:r w:rsidRPr="004D068E">
        <w:rPr>
          <w:sz w:val="28"/>
        </w:rPr>
        <w:t>, making it India’s largest supplier.</w:t>
      </w:r>
    </w:p>
    <w:p w:rsidR="00891C07" w:rsidRPr="004D068E" w:rsidRDefault="00891C07" w:rsidP="00891C07">
      <w:pPr>
        <w:pStyle w:val="NormalWeb"/>
        <w:numPr>
          <w:ilvl w:val="0"/>
          <w:numId w:val="21"/>
        </w:numPr>
        <w:rPr>
          <w:sz w:val="28"/>
        </w:rPr>
      </w:pPr>
      <w:r w:rsidRPr="004D068E">
        <w:rPr>
          <w:rStyle w:val="Strong"/>
          <w:rFonts w:eastAsiaTheme="majorEastAsia"/>
          <w:sz w:val="28"/>
        </w:rPr>
        <w:t>Overall Trend:</w:t>
      </w:r>
      <w:r w:rsidRPr="004D068E">
        <w:rPr>
          <w:sz w:val="28"/>
        </w:rPr>
        <w:t xml:space="preserve"> India’s oil imports have become highly </w:t>
      </w:r>
      <w:r w:rsidRPr="004D068E">
        <w:rPr>
          <w:rStyle w:val="Strong"/>
          <w:rFonts w:eastAsiaTheme="majorEastAsia"/>
          <w:sz w:val="28"/>
        </w:rPr>
        <w:t>price-sensitive</w:t>
      </w:r>
      <w:r w:rsidRPr="004D068E">
        <w:rPr>
          <w:sz w:val="28"/>
        </w:rPr>
        <w:t xml:space="preserve">, with global events and supplier dynamics directly affecting both </w:t>
      </w:r>
      <w:r w:rsidRPr="004D068E">
        <w:rPr>
          <w:rStyle w:val="Strong"/>
          <w:rFonts w:eastAsiaTheme="majorEastAsia"/>
          <w:sz w:val="28"/>
        </w:rPr>
        <w:t>costs and import volumes</w:t>
      </w:r>
      <w:r w:rsidRPr="004D068E">
        <w:rPr>
          <w:sz w:val="28"/>
        </w:rPr>
        <w:t>.</w:t>
      </w:r>
    </w:p>
    <w:p w:rsidR="00EA0201" w:rsidRDefault="00EA0201" w:rsidP="00D16D5D">
      <w:pPr>
        <w:rPr>
          <w:b/>
          <w:sz w:val="56"/>
        </w:rPr>
      </w:pPr>
    </w:p>
    <w:p w:rsidR="00EA0201" w:rsidRDefault="00EA0201" w:rsidP="00EA0201">
      <w:r>
        <w:br w:type="page"/>
      </w:r>
    </w:p>
    <w:p w:rsidR="00EA0201" w:rsidRDefault="00EA0201" w:rsidP="00EA0201">
      <w:pPr>
        <w:rPr>
          <w:b/>
          <w:sz w:val="36"/>
        </w:rPr>
      </w:pPr>
      <w:r w:rsidRPr="00D16D5D">
        <w:rPr>
          <w:b/>
          <w:sz w:val="36"/>
        </w:rPr>
        <w:lastRenderedPageBreak/>
        <w:t xml:space="preserve">2.1 </w:t>
      </w:r>
      <w:r>
        <w:rPr>
          <w:b/>
          <w:sz w:val="36"/>
        </w:rPr>
        <w:t>China</w:t>
      </w:r>
      <w:r w:rsidRPr="00D16D5D">
        <w:rPr>
          <w:b/>
          <w:sz w:val="36"/>
        </w:rPr>
        <w:t xml:space="preserve"> Oil Imports</w:t>
      </w:r>
    </w:p>
    <w:p w:rsidR="00EA0201" w:rsidRDefault="00EA0201" w:rsidP="00EA0201">
      <w:pPr>
        <w:rPr>
          <w:b/>
          <w:sz w:val="36"/>
        </w:rPr>
      </w:pPr>
    </w:p>
    <w:p w:rsidR="00EA0201" w:rsidRDefault="003138E5" w:rsidP="00D16D5D">
      <w:pPr>
        <w:rPr>
          <w:b/>
          <w:noProof/>
          <w:sz w:val="36"/>
          <w:lang w:eastAsia="en-IN"/>
        </w:rPr>
      </w:pPr>
      <w:r>
        <w:rPr>
          <w:b/>
          <w:noProof/>
          <w:sz w:val="36"/>
          <w:lang w:eastAsia="en-IN"/>
        </w:rPr>
        <w:pict>
          <v:shape id="_x0000_i1030" type="#_x0000_t75" style="width:450.4pt;height:239.45pt">
            <v:imagedata r:id="rId14" o:title="China imports percentaf"/>
          </v:shape>
        </w:pict>
      </w:r>
    </w:p>
    <w:p w:rsidR="00EA0201" w:rsidRDefault="00EA0201" w:rsidP="00D16D5D">
      <w:r>
        <w:t>Figure 6: China’s Oil Importer Share (%), 2016–2025.</w:t>
      </w:r>
    </w:p>
    <w:p w:rsidR="00EA0201" w:rsidRDefault="00EA0201" w:rsidP="00D16D5D"/>
    <w:p w:rsidR="00EA0201" w:rsidRPr="00342EFE" w:rsidRDefault="00EA0201" w:rsidP="00EA0201">
      <w:pPr>
        <w:pStyle w:val="Heading3"/>
        <w:rPr>
          <w:color w:val="000000" w:themeColor="text1"/>
          <w:sz w:val="28"/>
        </w:rPr>
      </w:pPr>
      <w:r w:rsidRPr="00342EFE">
        <w:rPr>
          <w:rStyle w:val="Strong"/>
          <w:b/>
          <w:bCs/>
          <w:color w:val="000000" w:themeColor="text1"/>
          <w:sz w:val="28"/>
        </w:rPr>
        <w:t>Key Insights – China</w:t>
      </w:r>
    </w:p>
    <w:p w:rsidR="004D068E" w:rsidRPr="004D068E" w:rsidRDefault="00342EFE" w:rsidP="004D068E">
      <w:pPr>
        <w:pStyle w:val="NormalWeb"/>
        <w:numPr>
          <w:ilvl w:val="0"/>
          <w:numId w:val="23"/>
        </w:numPr>
        <w:rPr>
          <w:sz w:val="28"/>
        </w:rPr>
      </w:pPr>
      <w:r w:rsidRPr="00342EFE">
        <w:rPr>
          <w:sz w:val="28"/>
        </w:rPr>
        <w:t>Russia was already a supplier (~25%) from 2016–2021; Saudi Arabia was the top supplier during this period, but with discounted oil, Russia’s share rose to ~32% by 2024, overtaking Saudi Arabia.</w:t>
      </w:r>
    </w:p>
    <w:p w:rsidR="00EA0201" w:rsidRDefault="00EA0201" w:rsidP="00EA0201">
      <w:pPr>
        <w:pStyle w:val="NormalWeb"/>
        <w:numPr>
          <w:ilvl w:val="0"/>
          <w:numId w:val="23"/>
        </w:numPr>
        <w:rPr>
          <w:sz w:val="28"/>
        </w:rPr>
      </w:pPr>
      <w:r w:rsidRPr="00342EFE">
        <w:rPr>
          <w:sz w:val="28"/>
        </w:rPr>
        <w:t>Other energy sources like LNG and pipeline gas also play a significant role in China’s imports (discussed later).</w:t>
      </w:r>
    </w:p>
    <w:p w:rsidR="0058318C" w:rsidRDefault="0058318C" w:rsidP="0058318C">
      <w:pPr>
        <w:pStyle w:val="NormalWeb"/>
        <w:rPr>
          <w:sz w:val="28"/>
        </w:rPr>
      </w:pPr>
    </w:p>
    <w:p w:rsidR="0058318C" w:rsidRPr="0058318C" w:rsidRDefault="0058318C" w:rsidP="0058318C">
      <w:pPr>
        <w:pStyle w:val="Heading3"/>
        <w:rPr>
          <w:b w:val="0"/>
          <w:color w:val="000000" w:themeColor="text1"/>
          <w:sz w:val="28"/>
        </w:rPr>
      </w:pPr>
      <w:r w:rsidRPr="0058318C">
        <w:rPr>
          <w:rStyle w:val="Strong"/>
          <w:b/>
          <w:bCs/>
          <w:color w:val="000000" w:themeColor="text1"/>
          <w:sz w:val="28"/>
        </w:rPr>
        <w:t>Final Insights – India &amp; China Oil Imports</w:t>
      </w:r>
    </w:p>
    <w:p w:rsidR="0058318C" w:rsidRPr="0058318C" w:rsidRDefault="0058318C" w:rsidP="0058318C">
      <w:pPr>
        <w:pStyle w:val="NormalWeb"/>
        <w:rPr>
          <w:sz w:val="28"/>
        </w:rPr>
      </w:pPr>
      <w:r w:rsidRPr="0058318C">
        <w:rPr>
          <w:sz w:val="28"/>
        </w:rPr>
        <w:t>Both India and China have increased their reliance on Russian oil in recent years. India’s imports benefited from post-2022 Russian discounts, reducing costs and maintaining volumes, with Russia reaching ~37% share in 2024. China’s imports show a gradual rise in Russia’s share from ~25% (2016–2021) to ~32% in 2024, overtaking Saudi Arabia. Overall, geopolitical events, price fluctuations, and supplier dynamics have significantly shaped oil import patterns for both countries, while LNG and pipeline gas remain important for China’s energy mix.</w:t>
      </w:r>
    </w:p>
    <w:p w:rsidR="0058318C" w:rsidRDefault="0058318C" w:rsidP="0058318C">
      <w:pPr>
        <w:pStyle w:val="NormalWeb"/>
        <w:rPr>
          <w:rFonts w:asciiTheme="minorHAnsi" w:hAnsiTheme="minorHAnsi" w:cstheme="minorHAnsi"/>
          <w:b/>
          <w:sz w:val="40"/>
          <w:szCs w:val="40"/>
        </w:rPr>
      </w:pPr>
      <w:r w:rsidRPr="0058318C">
        <w:rPr>
          <w:rFonts w:asciiTheme="minorHAnsi" w:hAnsiTheme="minorHAnsi" w:cstheme="minorHAnsi"/>
          <w:b/>
          <w:sz w:val="40"/>
          <w:szCs w:val="40"/>
        </w:rPr>
        <w:lastRenderedPageBreak/>
        <w:t>Section 3: Russia Energy Exports (2016–2025)</w:t>
      </w:r>
    </w:p>
    <w:p w:rsidR="0058318C" w:rsidRDefault="0058318C" w:rsidP="0058318C">
      <w:pPr>
        <w:pStyle w:val="NormalWeb"/>
        <w:rPr>
          <w:rFonts w:asciiTheme="minorHAnsi" w:hAnsiTheme="minorHAnsi" w:cstheme="minorHAnsi"/>
          <w:b/>
          <w:sz w:val="40"/>
          <w:szCs w:val="40"/>
        </w:rPr>
      </w:pPr>
    </w:p>
    <w:p w:rsidR="0058318C" w:rsidRPr="0058318C" w:rsidRDefault="0058318C" w:rsidP="0058318C">
      <w:pPr>
        <w:pStyle w:val="Heading2"/>
        <w:rPr>
          <w:color w:val="000000" w:themeColor="text1"/>
          <w:sz w:val="28"/>
        </w:rPr>
      </w:pPr>
      <w:r w:rsidRPr="0058318C">
        <w:rPr>
          <w:rStyle w:val="Strong"/>
          <w:b/>
          <w:bCs/>
          <w:color w:val="000000" w:themeColor="text1"/>
          <w:sz w:val="28"/>
        </w:rPr>
        <w:t>Overview / Context</w:t>
      </w:r>
    </w:p>
    <w:p w:rsidR="0058318C" w:rsidRDefault="0058318C" w:rsidP="0058318C">
      <w:pPr>
        <w:pStyle w:val="NormalWeb"/>
      </w:pPr>
      <w:r>
        <w:t>Russia is one of the world’s largest energy exporters, supplying crude oil, LNG, natural gas (pipeline and LNG), and coal to global markets. Its energy exports have been shaped by:</w:t>
      </w:r>
    </w:p>
    <w:p w:rsidR="0058318C" w:rsidRDefault="0058318C" w:rsidP="0058318C">
      <w:pPr>
        <w:pStyle w:val="NormalWeb"/>
        <w:numPr>
          <w:ilvl w:val="0"/>
          <w:numId w:val="25"/>
        </w:numPr>
      </w:pPr>
      <w:r>
        <w:rPr>
          <w:rStyle w:val="Strong"/>
          <w:rFonts w:eastAsiaTheme="majorEastAsia"/>
        </w:rPr>
        <w:t>Global demand fluctuations</w:t>
      </w:r>
      <w:r>
        <w:t xml:space="preserve"> (e.g., COVID-19 impact)</w:t>
      </w:r>
    </w:p>
    <w:p w:rsidR="0058318C" w:rsidRDefault="0058318C" w:rsidP="0058318C">
      <w:pPr>
        <w:pStyle w:val="NormalWeb"/>
        <w:numPr>
          <w:ilvl w:val="0"/>
          <w:numId w:val="25"/>
        </w:numPr>
      </w:pPr>
      <w:r>
        <w:rPr>
          <w:rStyle w:val="Strong"/>
          <w:rFonts w:eastAsiaTheme="majorEastAsia"/>
        </w:rPr>
        <w:t>Geopolitical events</w:t>
      </w:r>
      <w:r>
        <w:t xml:space="preserve"> (e.g., sanctions, Russia–Ukraine war)</w:t>
      </w:r>
    </w:p>
    <w:p w:rsidR="0058318C" w:rsidRDefault="0058318C" w:rsidP="0058318C">
      <w:pPr>
        <w:pStyle w:val="NormalWeb"/>
        <w:numPr>
          <w:ilvl w:val="0"/>
          <w:numId w:val="25"/>
        </w:numPr>
      </w:pPr>
      <w:r>
        <w:rPr>
          <w:rStyle w:val="Strong"/>
          <w:rFonts w:eastAsiaTheme="majorEastAsia"/>
        </w:rPr>
        <w:t>Discounts and trade offers to key importers</w:t>
      </w:r>
      <w:r>
        <w:t xml:space="preserve"> (e.g., India and China)</w:t>
      </w:r>
    </w:p>
    <w:p w:rsidR="0058318C" w:rsidRDefault="0058318C" w:rsidP="0058318C">
      <w:pPr>
        <w:pStyle w:val="NormalWeb"/>
      </w:pPr>
      <w:r>
        <w:t xml:space="preserve">This section examines Russia’s export patterns by </w:t>
      </w:r>
      <w:r>
        <w:rPr>
          <w:rStyle w:val="Strong"/>
          <w:rFonts w:eastAsiaTheme="majorEastAsia"/>
        </w:rPr>
        <w:t>country groups and energy type</w:t>
      </w:r>
      <w:r>
        <w:t xml:space="preserve"> over 2016–2025.</w:t>
      </w:r>
    </w:p>
    <w:p w:rsidR="00EF1C10" w:rsidRDefault="00EF1C10" w:rsidP="0058318C">
      <w:pPr>
        <w:pStyle w:val="NormalWeb"/>
      </w:pPr>
    </w:p>
    <w:p w:rsidR="005D5166" w:rsidRDefault="003138E5" w:rsidP="0058318C">
      <w:pPr>
        <w:pStyle w:val="NormalWeb"/>
      </w:pPr>
      <w:r>
        <w:pict>
          <v:shape id="_x0000_i1031" type="#_x0000_t75" style="width:408.55pt;height:264.55pt">
            <v:imagedata r:id="rId15" o:title="Russia Total Exports Value byYear"/>
          </v:shape>
        </w:pict>
      </w:r>
      <w:r w:rsidR="005D5166" w:rsidRPr="005D5166">
        <w:t xml:space="preserve"> </w:t>
      </w:r>
      <w:r w:rsidR="005D5166">
        <w:t xml:space="preserve">                  </w:t>
      </w:r>
      <w:r w:rsidR="005D5166" w:rsidRPr="005D5166">
        <w:rPr>
          <w:sz w:val="22"/>
        </w:rPr>
        <w:t>Figure 7: Russia’s Total Energy Export Value (USD Billion), 2016–2025.</w:t>
      </w:r>
    </w:p>
    <w:p w:rsidR="005D5166" w:rsidRPr="005D5166" w:rsidRDefault="005D5166" w:rsidP="005D5166">
      <w:pPr>
        <w:pStyle w:val="Heading3"/>
        <w:rPr>
          <w:color w:val="000000" w:themeColor="text1"/>
          <w:sz w:val="28"/>
        </w:rPr>
      </w:pPr>
      <w:r w:rsidRPr="005D5166">
        <w:rPr>
          <w:rStyle w:val="Strong"/>
          <w:b/>
          <w:bCs/>
          <w:color w:val="000000" w:themeColor="text1"/>
          <w:sz w:val="28"/>
        </w:rPr>
        <w:t>Key Insights – Russia Total Energy Exports</w:t>
      </w:r>
    </w:p>
    <w:p w:rsidR="005D5166" w:rsidRDefault="005D5166" w:rsidP="005D5166">
      <w:pPr>
        <w:pStyle w:val="NormalWeb"/>
        <w:numPr>
          <w:ilvl w:val="0"/>
          <w:numId w:val="26"/>
        </w:numPr>
      </w:pPr>
      <w:r>
        <w:rPr>
          <w:rStyle w:val="Strong"/>
          <w:rFonts w:eastAsiaTheme="majorEastAsia"/>
        </w:rPr>
        <w:t>2016–2019:</w:t>
      </w:r>
      <w:r>
        <w:t xml:space="preserve"> Steady growth in export revenue from oil, gas, and coal.</w:t>
      </w:r>
    </w:p>
    <w:p w:rsidR="005D5166" w:rsidRDefault="005D5166" w:rsidP="005D5166">
      <w:pPr>
        <w:pStyle w:val="NormalWeb"/>
        <w:numPr>
          <w:ilvl w:val="0"/>
          <w:numId w:val="26"/>
        </w:numPr>
      </w:pPr>
      <w:r>
        <w:rPr>
          <w:rStyle w:val="Strong"/>
          <w:rFonts w:eastAsiaTheme="majorEastAsia"/>
        </w:rPr>
        <w:t>2020 (COVID-19):</w:t>
      </w:r>
      <w:r>
        <w:t xml:space="preserve"> Global demand collapse caused a temporary dip.</w:t>
      </w:r>
    </w:p>
    <w:p w:rsidR="005D5166" w:rsidRDefault="005D5166" w:rsidP="005D5166">
      <w:pPr>
        <w:pStyle w:val="NormalWeb"/>
        <w:numPr>
          <w:ilvl w:val="0"/>
          <w:numId w:val="26"/>
        </w:numPr>
      </w:pPr>
      <w:r>
        <w:rPr>
          <w:rStyle w:val="Strong"/>
          <w:rFonts w:eastAsiaTheme="majorEastAsia"/>
        </w:rPr>
        <w:t>2021–2022:</w:t>
      </w:r>
      <w:r>
        <w:t xml:space="preserve"> Post-COVID recovery and geopolitical tensions drove energy prices up.</w:t>
      </w:r>
    </w:p>
    <w:p w:rsidR="005D5166" w:rsidRDefault="005D5166" w:rsidP="005D5166">
      <w:pPr>
        <w:pStyle w:val="NormalWeb"/>
        <w:numPr>
          <w:ilvl w:val="0"/>
          <w:numId w:val="26"/>
        </w:numPr>
      </w:pPr>
      <w:r>
        <w:rPr>
          <w:rStyle w:val="Strong"/>
          <w:rFonts w:eastAsiaTheme="majorEastAsia"/>
        </w:rPr>
        <w:t>Post-2022:</w:t>
      </w:r>
      <w:r>
        <w:t xml:space="preserve"> European sanctions reduced exports to the EU, but </w:t>
      </w:r>
      <w:r>
        <w:rPr>
          <w:rStyle w:val="Strong"/>
          <w:rFonts w:eastAsiaTheme="majorEastAsia"/>
        </w:rPr>
        <w:t>discounted sales to India, China, and Asia</w:t>
      </w:r>
      <w:r>
        <w:t xml:space="preserve"> helped sustain revenue.</w:t>
      </w:r>
    </w:p>
    <w:p w:rsidR="005D5166" w:rsidRDefault="005D5166" w:rsidP="005D5166">
      <w:pPr>
        <w:pStyle w:val="NormalWeb"/>
        <w:numPr>
          <w:ilvl w:val="0"/>
          <w:numId w:val="26"/>
        </w:numPr>
      </w:pPr>
      <w:r>
        <w:rPr>
          <w:rStyle w:val="Strong"/>
          <w:rFonts w:eastAsiaTheme="majorEastAsia"/>
        </w:rPr>
        <w:t>Trend:</w:t>
      </w:r>
      <w:r>
        <w:t xml:space="preserve"> Russia’s energy export strategy shifted </w:t>
      </w:r>
      <w:r>
        <w:rPr>
          <w:rStyle w:val="Strong"/>
          <w:rFonts w:eastAsiaTheme="majorEastAsia"/>
        </w:rPr>
        <w:t>from Europe-focused to Asia-focused</w:t>
      </w:r>
      <w:r>
        <w:t>, balancing sanctions impact with higher sales to emerging markets.</w:t>
      </w:r>
    </w:p>
    <w:p w:rsidR="005D5166" w:rsidRDefault="003138E5" w:rsidP="0058318C">
      <w:pPr>
        <w:pStyle w:val="NormalWeb"/>
      </w:pPr>
      <w:r>
        <w:lastRenderedPageBreak/>
        <w:pict>
          <v:shape id="_x0000_i1032" type="#_x0000_t75" style="width:451.25pt;height:259.55pt">
            <v:imagedata r:id="rId16" o:title="Russia Export share by percent"/>
          </v:shape>
        </w:pict>
      </w:r>
    </w:p>
    <w:p w:rsidR="005D5166" w:rsidRDefault="005D5166" w:rsidP="0058318C">
      <w:pPr>
        <w:pStyle w:val="NormalWeb"/>
        <w:rPr>
          <w:sz w:val="22"/>
        </w:rPr>
      </w:pPr>
      <w:r w:rsidRPr="005D5166">
        <w:rPr>
          <w:sz w:val="22"/>
        </w:rPr>
        <w:t xml:space="preserve">Figure 8: Russia’s Energy Exports by </w:t>
      </w:r>
      <w:proofErr w:type="gramStart"/>
      <w:r w:rsidRPr="005D5166">
        <w:rPr>
          <w:sz w:val="22"/>
        </w:rPr>
        <w:t>Co</w:t>
      </w:r>
      <w:r w:rsidR="00404DE5">
        <w:rPr>
          <w:sz w:val="22"/>
        </w:rPr>
        <w:t xml:space="preserve">untry </w:t>
      </w:r>
      <w:r w:rsidRPr="005D5166">
        <w:rPr>
          <w:sz w:val="22"/>
        </w:rPr>
        <w:t xml:space="preserve"> (</w:t>
      </w:r>
      <w:proofErr w:type="gramEnd"/>
      <w:r w:rsidRPr="005D5166">
        <w:rPr>
          <w:sz w:val="22"/>
        </w:rPr>
        <w:t>%), 2016–2025.</w:t>
      </w:r>
    </w:p>
    <w:p w:rsidR="005D5166" w:rsidRDefault="005D5166" w:rsidP="0058318C">
      <w:pPr>
        <w:pStyle w:val="NormalWeb"/>
        <w:rPr>
          <w:sz w:val="22"/>
        </w:rPr>
      </w:pPr>
    </w:p>
    <w:p w:rsidR="005D5166" w:rsidRDefault="003138E5" w:rsidP="0058318C">
      <w:pPr>
        <w:pStyle w:val="NormalWeb"/>
        <w:rPr>
          <w:sz w:val="22"/>
        </w:rPr>
      </w:pPr>
      <w:r>
        <w:rPr>
          <w:sz w:val="22"/>
        </w:rPr>
        <w:pict>
          <v:shape id="_x0000_i1033" type="#_x0000_t75" style="width:450.4pt;height:248.65pt">
            <v:imagedata r:id="rId17" o:title="russia exports india china grouped china+china1"/>
          </v:shape>
        </w:pict>
      </w:r>
    </w:p>
    <w:p w:rsidR="00404DE5" w:rsidRDefault="00404DE5" w:rsidP="00404DE5">
      <w:pPr>
        <w:pStyle w:val="NormalWeb"/>
        <w:rPr>
          <w:sz w:val="22"/>
        </w:rPr>
      </w:pPr>
      <w:r>
        <w:rPr>
          <w:sz w:val="22"/>
        </w:rPr>
        <w:t>Figure 9</w:t>
      </w:r>
      <w:r w:rsidRPr="005D5166">
        <w:rPr>
          <w:sz w:val="22"/>
        </w:rPr>
        <w:t xml:space="preserve">: Russia’s Energy Exports </w:t>
      </w:r>
      <w:r w:rsidR="00952142" w:rsidRPr="005D5166">
        <w:rPr>
          <w:sz w:val="22"/>
        </w:rPr>
        <w:t xml:space="preserve">by </w:t>
      </w:r>
      <w:r w:rsidR="00952142" w:rsidRPr="002705C4">
        <w:rPr>
          <w:b/>
          <w:sz w:val="22"/>
        </w:rPr>
        <w:t>Country</w:t>
      </w:r>
      <w:r w:rsidRPr="002705C4">
        <w:rPr>
          <w:b/>
          <w:sz w:val="22"/>
        </w:rPr>
        <w:t xml:space="preserve"> Groups</w:t>
      </w:r>
      <w:r>
        <w:rPr>
          <w:sz w:val="22"/>
        </w:rPr>
        <w:t xml:space="preserve"> (</w:t>
      </w:r>
      <w:r w:rsidRPr="002705C4">
        <w:rPr>
          <w:b/>
          <w:sz w:val="22"/>
        </w:rPr>
        <w:t xml:space="preserve">India + </w:t>
      </w:r>
      <w:proofErr w:type="gramStart"/>
      <w:r w:rsidRPr="002705C4">
        <w:rPr>
          <w:b/>
          <w:sz w:val="22"/>
        </w:rPr>
        <w:t>China</w:t>
      </w:r>
      <w:r>
        <w:rPr>
          <w:sz w:val="22"/>
        </w:rPr>
        <w:t xml:space="preserve"> </w:t>
      </w:r>
      <w:r w:rsidRPr="005D5166">
        <w:rPr>
          <w:sz w:val="22"/>
        </w:rPr>
        <w:t>)</w:t>
      </w:r>
      <w:proofErr w:type="gramEnd"/>
      <w:r w:rsidRPr="005D5166">
        <w:rPr>
          <w:sz w:val="22"/>
        </w:rPr>
        <w:t>, 2016–2025.</w:t>
      </w:r>
    </w:p>
    <w:p w:rsidR="00404DE5" w:rsidRDefault="00404DE5" w:rsidP="00404DE5">
      <w:pPr>
        <w:pStyle w:val="NormalWeb"/>
        <w:rPr>
          <w:sz w:val="22"/>
        </w:rPr>
      </w:pPr>
    </w:p>
    <w:p w:rsidR="00404DE5" w:rsidRDefault="00404DE5" w:rsidP="00404DE5">
      <w:pPr>
        <w:pStyle w:val="NormalWeb"/>
        <w:rPr>
          <w:sz w:val="22"/>
        </w:rPr>
      </w:pPr>
    </w:p>
    <w:p w:rsidR="00404DE5" w:rsidRDefault="00404DE5" w:rsidP="00404DE5">
      <w:pPr>
        <w:pStyle w:val="NormalWeb"/>
        <w:rPr>
          <w:sz w:val="22"/>
        </w:rPr>
      </w:pPr>
    </w:p>
    <w:p w:rsidR="00404DE5" w:rsidRDefault="00404DE5" w:rsidP="00404DE5">
      <w:pPr>
        <w:pStyle w:val="NormalWeb"/>
        <w:rPr>
          <w:sz w:val="22"/>
        </w:rPr>
      </w:pPr>
    </w:p>
    <w:p w:rsidR="00404DE5" w:rsidRDefault="00404DE5" w:rsidP="00404DE5">
      <w:pPr>
        <w:pStyle w:val="NormalWeb"/>
        <w:rPr>
          <w:sz w:val="22"/>
        </w:rPr>
      </w:pPr>
    </w:p>
    <w:p w:rsidR="00404DE5" w:rsidRPr="00FE1EDD" w:rsidRDefault="00404DE5" w:rsidP="00404DE5">
      <w:pPr>
        <w:pStyle w:val="Heading3"/>
        <w:rPr>
          <w:color w:val="000000" w:themeColor="text1"/>
          <w:sz w:val="32"/>
        </w:rPr>
      </w:pPr>
      <w:r w:rsidRPr="00FE1EDD">
        <w:rPr>
          <w:rStyle w:val="Strong"/>
          <w:b/>
          <w:bCs/>
          <w:color w:val="000000" w:themeColor="text1"/>
          <w:sz w:val="32"/>
        </w:rPr>
        <w:t>Key Insights – Russia Energy Exports</w:t>
      </w:r>
    </w:p>
    <w:p w:rsidR="00404DE5" w:rsidRDefault="00404DE5" w:rsidP="00404DE5">
      <w:pPr>
        <w:pStyle w:val="NormalWeb"/>
        <w:numPr>
          <w:ilvl w:val="0"/>
          <w:numId w:val="27"/>
        </w:numPr>
      </w:pPr>
      <w:r>
        <w:rPr>
          <w:rStyle w:val="Strong"/>
          <w:rFonts w:eastAsiaTheme="majorEastAsia"/>
        </w:rPr>
        <w:t>Shift to Asia:</w:t>
      </w:r>
      <w:r>
        <w:t xml:space="preserve"> India and China have become the dominant importers, with combined share surging to 75% by 2025.</w:t>
      </w:r>
    </w:p>
    <w:p w:rsidR="00404DE5" w:rsidRDefault="00404DE5" w:rsidP="00404DE5">
      <w:pPr>
        <w:pStyle w:val="NormalWeb"/>
        <w:numPr>
          <w:ilvl w:val="0"/>
          <w:numId w:val="27"/>
        </w:numPr>
      </w:pPr>
      <w:r>
        <w:rPr>
          <w:rStyle w:val="Strong"/>
          <w:rFonts w:eastAsiaTheme="majorEastAsia"/>
        </w:rPr>
        <w:t>Europe Decline:</w:t>
      </w:r>
      <w:r>
        <w:t xml:space="preserve"> EU’s share fell sharply from 50% in 2021 to 8% in 2025 due to sanctions and geopolitical restrictions.</w:t>
      </w:r>
    </w:p>
    <w:p w:rsidR="00404DE5" w:rsidRDefault="00404DE5" w:rsidP="00404DE5">
      <w:pPr>
        <w:pStyle w:val="NormalWeb"/>
        <w:numPr>
          <w:ilvl w:val="0"/>
          <w:numId w:val="27"/>
        </w:numPr>
      </w:pPr>
      <w:r>
        <w:rPr>
          <w:rStyle w:val="Strong"/>
          <w:rFonts w:eastAsiaTheme="majorEastAsia"/>
        </w:rPr>
        <w:t>Individual Growth:</w:t>
      </w:r>
      <w:r>
        <w:t xml:space="preserve"> India increased from &lt;3% to 32%, China from ~30% to 42% (2025 till August).</w:t>
      </w:r>
    </w:p>
    <w:p w:rsidR="00404DE5" w:rsidRDefault="00404DE5" w:rsidP="00404DE5">
      <w:pPr>
        <w:pStyle w:val="NormalWeb"/>
        <w:numPr>
          <w:ilvl w:val="0"/>
          <w:numId w:val="27"/>
        </w:numPr>
      </w:pPr>
      <w:r>
        <w:rPr>
          <w:rStyle w:val="Strong"/>
          <w:rFonts w:eastAsiaTheme="majorEastAsia"/>
        </w:rPr>
        <w:t>Overall Trend:</w:t>
      </w:r>
      <w:r>
        <w:t xml:space="preserve"> Russia strategically pivoted from Europe-focused exports to Asia, maintaining revenue through discounted offers to key Asian buyers.</w:t>
      </w:r>
    </w:p>
    <w:p w:rsidR="00404DE5" w:rsidRDefault="00404DE5" w:rsidP="0058318C">
      <w:pPr>
        <w:pStyle w:val="NormalWeb"/>
        <w:rPr>
          <w:sz w:val="22"/>
        </w:rPr>
      </w:pPr>
    </w:p>
    <w:p w:rsidR="00404DE5" w:rsidRDefault="00404DE5" w:rsidP="0058318C">
      <w:pPr>
        <w:pStyle w:val="NormalWeb"/>
        <w:rPr>
          <w:b/>
          <w:sz w:val="28"/>
        </w:rPr>
      </w:pPr>
      <w:r w:rsidRPr="00404DE5">
        <w:rPr>
          <w:b/>
          <w:sz w:val="28"/>
        </w:rPr>
        <w:t>Russia Exports Revenue Based on Energy Type</w:t>
      </w:r>
    </w:p>
    <w:p w:rsidR="00404DE5" w:rsidRPr="00404DE5" w:rsidRDefault="00404DE5" w:rsidP="0058318C">
      <w:pPr>
        <w:pStyle w:val="NormalWeb"/>
        <w:rPr>
          <w:b/>
          <w:sz w:val="28"/>
        </w:rPr>
      </w:pPr>
    </w:p>
    <w:p w:rsidR="005D5166" w:rsidRDefault="003138E5" w:rsidP="0058318C">
      <w:pPr>
        <w:pStyle w:val="NormalWeb"/>
      </w:pPr>
      <w:r>
        <w:pict>
          <v:shape id="_x0000_i1034" type="#_x0000_t75" style="width:451.25pt;height:169.1pt">
            <v:imagedata r:id="rId18" o:title="russia energt exports 2016 -20221 "/>
          </v:shape>
        </w:pict>
      </w:r>
    </w:p>
    <w:p w:rsidR="005D5166" w:rsidRDefault="005B2A33" w:rsidP="0058318C">
      <w:pPr>
        <w:pStyle w:val="NormalWeb"/>
        <w:rPr>
          <w:sz w:val="20"/>
        </w:rPr>
      </w:pPr>
      <w:r w:rsidRPr="005B2A33">
        <w:rPr>
          <w:sz w:val="20"/>
        </w:rPr>
        <w:t xml:space="preserve">Figure 10: Russia Energy Export Revenue by Type (Crude Oil, LNG, Pipeline Gas, Coal), </w:t>
      </w:r>
      <w:r w:rsidRPr="00952142">
        <w:rPr>
          <w:b/>
          <w:sz w:val="20"/>
        </w:rPr>
        <w:t>2016–2021.</w:t>
      </w:r>
    </w:p>
    <w:p w:rsidR="005B2A33" w:rsidRDefault="005B2A33" w:rsidP="0058318C">
      <w:pPr>
        <w:pStyle w:val="NormalWeb"/>
        <w:rPr>
          <w:sz w:val="20"/>
        </w:rPr>
      </w:pPr>
    </w:p>
    <w:p w:rsidR="005B2A33" w:rsidRDefault="003138E5" w:rsidP="0058318C">
      <w:pPr>
        <w:pStyle w:val="NormalWeb"/>
        <w:rPr>
          <w:sz w:val="20"/>
        </w:rPr>
      </w:pPr>
      <w:r>
        <w:rPr>
          <w:sz w:val="20"/>
        </w:rPr>
        <w:lastRenderedPageBreak/>
        <w:pict>
          <v:shape id="_x0000_i1035" type="#_x0000_t75" style="width:451.25pt;height:169.1pt">
            <v:imagedata r:id="rId19" o:title="russia Energy Exports - 2024"/>
          </v:shape>
        </w:pict>
      </w:r>
    </w:p>
    <w:p w:rsidR="005B2A33" w:rsidRDefault="005B2A33" w:rsidP="005B2A33">
      <w:pPr>
        <w:pStyle w:val="NormalWeb"/>
        <w:rPr>
          <w:sz w:val="20"/>
        </w:rPr>
      </w:pPr>
      <w:r>
        <w:rPr>
          <w:sz w:val="20"/>
        </w:rPr>
        <w:t>Figure 11</w:t>
      </w:r>
      <w:r w:rsidRPr="005B2A33">
        <w:rPr>
          <w:sz w:val="20"/>
        </w:rPr>
        <w:t>: Russia Energy Export Revenue by Type (Crude Oil, LNG</w:t>
      </w:r>
      <w:r>
        <w:rPr>
          <w:sz w:val="20"/>
        </w:rPr>
        <w:t xml:space="preserve">, Pipeline Gas, Coal), for </w:t>
      </w:r>
      <w:r w:rsidRPr="00952142">
        <w:rPr>
          <w:b/>
          <w:sz w:val="20"/>
        </w:rPr>
        <w:t>Year</w:t>
      </w:r>
      <w:r>
        <w:rPr>
          <w:sz w:val="20"/>
        </w:rPr>
        <w:t xml:space="preserve"> </w:t>
      </w:r>
      <w:r w:rsidRPr="00952142">
        <w:rPr>
          <w:b/>
          <w:sz w:val="20"/>
        </w:rPr>
        <w:t>2024</w:t>
      </w:r>
      <w:r w:rsidRPr="005B2A33">
        <w:rPr>
          <w:sz w:val="20"/>
        </w:rPr>
        <w:t>.</w:t>
      </w:r>
    </w:p>
    <w:p w:rsidR="00952142" w:rsidRPr="00952142" w:rsidRDefault="00952142" w:rsidP="00952142">
      <w:pPr>
        <w:pStyle w:val="Heading3"/>
        <w:rPr>
          <w:color w:val="000000" w:themeColor="text1"/>
          <w:sz w:val="28"/>
        </w:rPr>
      </w:pPr>
      <w:r w:rsidRPr="00952142">
        <w:rPr>
          <w:rStyle w:val="Strong"/>
          <w:b/>
          <w:bCs/>
          <w:color w:val="000000" w:themeColor="text1"/>
          <w:sz w:val="28"/>
        </w:rPr>
        <w:t>Key Insights – Export Revenue by Energy Type &amp; Region</w:t>
      </w:r>
    </w:p>
    <w:p w:rsidR="00952142" w:rsidRDefault="00952142" w:rsidP="00952142">
      <w:pPr>
        <w:pStyle w:val="NormalWeb"/>
        <w:numPr>
          <w:ilvl w:val="0"/>
          <w:numId w:val="28"/>
        </w:numPr>
      </w:pPr>
      <w:r>
        <w:rPr>
          <w:rStyle w:val="Strong"/>
          <w:rFonts w:eastAsiaTheme="majorEastAsia"/>
        </w:rPr>
        <w:t>2016–2021:</w:t>
      </w:r>
      <w:r>
        <w:t xml:space="preserve"> Europe dominated revenue for all energy types (oil, gas, LNG, coal).</w:t>
      </w:r>
    </w:p>
    <w:p w:rsidR="00952142" w:rsidRDefault="00952142" w:rsidP="00952142">
      <w:pPr>
        <w:pStyle w:val="NormalWeb"/>
        <w:numPr>
          <w:ilvl w:val="0"/>
          <w:numId w:val="28"/>
        </w:numPr>
      </w:pPr>
      <w:r>
        <w:rPr>
          <w:rStyle w:val="Strong"/>
          <w:rFonts w:eastAsiaTheme="majorEastAsia"/>
        </w:rPr>
        <w:t>2022–2025:</w:t>
      </w:r>
      <w:r>
        <w:t xml:space="preserve"> Asian markets, especially India and China, became the main revenue sources.</w:t>
      </w:r>
    </w:p>
    <w:p w:rsidR="00952142" w:rsidRDefault="00952142" w:rsidP="00952142">
      <w:pPr>
        <w:pStyle w:val="NormalWeb"/>
        <w:numPr>
          <w:ilvl w:val="0"/>
          <w:numId w:val="28"/>
        </w:numPr>
      </w:pPr>
      <w:r>
        <w:rPr>
          <w:rStyle w:val="Strong"/>
          <w:rFonts w:eastAsiaTheme="majorEastAsia"/>
        </w:rPr>
        <w:t>Crude Oil &amp; LNG:</w:t>
      </w:r>
      <w:r>
        <w:t xml:space="preserve"> Major contributors to Russia’s total export revenue.</w:t>
      </w:r>
    </w:p>
    <w:p w:rsidR="00952142" w:rsidRDefault="00952142" w:rsidP="00952142">
      <w:pPr>
        <w:pStyle w:val="NormalWeb"/>
        <w:numPr>
          <w:ilvl w:val="0"/>
          <w:numId w:val="28"/>
        </w:numPr>
      </w:pPr>
      <w:r>
        <w:rPr>
          <w:rStyle w:val="Strong"/>
          <w:rFonts w:eastAsiaTheme="majorEastAsia"/>
        </w:rPr>
        <w:t>Overall Trend:</w:t>
      </w:r>
      <w:r>
        <w:t xml:space="preserve"> Russia shifted its energy export focus from Europe to Asia, maintaining overall revenue despite sanctions and geopolitical pressures.</w:t>
      </w:r>
    </w:p>
    <w:p w:rsidR="005D5166" w:rsidRDefault="005D5166" w:rsidP="0058318C">
      <w:pPr>
        <w:pStyle w:val="NormalWeb"/>
      </w:pPr>
    </w:p>
    <w:p w:rsidR="00952142" w:rsidRPr="00952142" w:rsidRDefault="00952142" w:rsidP="00952142">
      <w:pPr>
        <w:shd w:val="clear" w:color="auto" w:fill="1F1F1F"/>
        <w:spacing w:after="0" w:line="285" w:lineRule="atLeast"/>
        <w:rPr>
          <w:rFonts w:ascii="Consolas" w:eastAsia="Times New Roman" w:hAnsi="Consolas" w:cs="Times New Roman"/>
          <w:color w:val="CCCCCC"/>
          <w:sz w:val="21"/>
          <w:szCs w:val="21"/>
          <w:lang w:eastAsia="en-IN"/>
        </w:rPr>
      </w:pPr>
      <w:r w:rsidRPr="00952142">
        <w:rPr>
          <w:rFonts w:ascii="Consolas" w:eastAsia="Times New Roman" w:hAnsi="Consolas" w:cs="Times New Roman"/>
          <w:color w:val="CCCCCC"/>
          <w:sz w:val="21"/>
          <w:szCs w:val="21"/>
          <w:lang w:eastAsia="en-IN"/>
        </w:rPr>
        <w:t>2018: Total exports ≈ $275B</w:t>
      </w:r>
    </w:p>
    <w:p w:rsidR="00952142" w:rsidRPr="00952142" w:rsidRDefault="00952142" w:rsidP="00952142">
      <w:pPr>
        <w:shd w:val="clear" w:color="auto" w:fill="1F1F1F"/>
        <w:spacing w:after="0" w:line="285" w:lineRule="atLeast"/>
        <w:rPr>
          <w:rFonts w:ascii="Consolas" w:eastAsia="Times New Roman" w:hAnsi="Consolas" w:cs="Times New Roman"/>
          <w:color w:val="CCCCCC"/>
          <w:sz w:val="21"/>
          <w:szCs w:val="21"/>
          <w:lang w:eastAsia="en-IN"/>
        </w:rPr>
      </w:pPr>
    </w:p>
    <w:p w:rsidR="00952142" w:rsidRPr="00952142" w:rsidRDefault="00952142" w:rsidP="00952142">
      <w:pPr>
        <w:shd w:val="clear" w:color="auto" w:fill="1F1F1F"/>
        <w:spacing w:after="0" w:line="285" w:lineRule="atLeast"/>
        <w:rPr>
          <w:rFonts w:ascii="Consolas" w:eastAsia="Times New Roman" w:hAnsi="Consolas" w:cs="Times New Roman"/>
          <w:color w:val="CCCCCC"/>
          <w:sz w:val="21"/>
          <w:szCs w:val="21"/>
          <w:lang w:eastAsia="en-IN"/>
        </w:rPr>
      </w:pPr>
      <w:r w:rsidRPr="00952142">
        <w:rPr>
          <w:rFonts w:ascii="Consolas" w:eastAsia="Times New Roman" w:hAnsi="Consolas" w:cs="Times New Roman"/>
          <w:color w:val="CCCCCC"/>
          <w:sz w:val="21"/>
          <w:szCs w:val="21"/>
          <w:lang w:eastAsia="en-IN"/>
        </w:rPr>
        <w:t>2022 (early war): Total exports ≈ $325B</w:t>
      </w:r>
    </w:p>
    <w:p w:rsidR="00952142" w:rsidRPr="00952142" w:rsidRDefault="00952142" w:rsidP="00952142">
      <w:pPr>
        <w:shd w:val="clear" w:color="auto" w:fill="1F1F1F"/>
        <w:spacing w:after="0" w:line="285" w:lineRule="atLeast"/>
        <w:rPr>
          <w:rFonts w:ascii="Consolas" w:eastAsia="Times New Roman" w:hAnsi="Consolas" w:cs="Times New Roman"/>
          <w:color w:val="CCCCCC"/>
          <w:sz w:val="21"/>
          <w:szCs w:val="21"/>
          <w:lang w:eastAsia="en-IN"/>
        </w:rPr>
      </w:pPr>
    </w:p>
    <w:p w:rsidR="00952142" w:rsidRPr="00952142" w:rsidRDefault="00952142" w:rsidP="00952142">
      <w:pPr>
        <w:shd w:val="clear" w:color="auto" w:fill="1F1F1F"/>
        <w:spacing w:after="0" w:line="285" w:lineRule="atLeast"/>
        <w:rPr>
          <w:rFonts w:ascii="Consolas" w:eastAsia="Times New Roman" w:hAnsi="Consolas" w:cs="Times New Roman"/>
          <w:color w:val="CCCCCC"/>
          <w:sz w:val="21"/>
          <w:szCs w:val="21"/>
          <w:lang w:eastAsia="en-IN"/>
        </w:rPr>
      </w:pPr>
      <w:r w:rsidRPr="00952142">
        <w:rPr>
          <w:rFonts w:ascii="Consolas" w:eastAsia="Times New Roman" w:hAnsi="Consolas" w:cs="Times New Roman"/>
          <w:color w:val="CCCCCC"/>
          <w:sz w:val="21"/>
          <w:szCs w:val="21"/>
          <w:lang w:eastAsia="en-IN"/>
        </w:rPr>
        <w:t>2024: Total exports ≈ $220B</w:t>
      </w:r>
    </w:p>
    <w:p w:rsidR="005D5166" w:rsidRDefault="005D5166" w:rsidP="0058318C">
      <w:pPr>
        <w:pStyle w:val="NormalWeb"/>
      </w:pPr>
    </w:p>
    <w:p w:rsidR="00FE1EDD" w:rsidRDefault="00FE1EDD" w:rsidP="00731598">
      <w:pPr>
        <w:pStyle w:val="NormalWeb"/>
        <w:rPr>
          <w:rFonts w:asciiTheme="minorHAnsi" w:hAnsiTheme="minorHAnsi" w:cstheme="minorHAnsi"/>
          <w:b/>
          <w:sz w:val="40"/>
          <w:szCs w:val="40"/>
        </w:rPr>
      </w:pPr>
    </w:p>
    <w:p w:rsidR="00FE1EDD" w:rsidRDefault="00FE1EDD" w:rsidP="00731598">
      <w:pPr>
        <w:pStyle w:val="NormalWeb"/>
        <w:rPr>
          <w:rFonts w:asciiTheme="minorHAnsi" w:hAnsiTheme="minorHAnsi" w:cstheme="minorHAnsi"/>
          <w:b/>
          <w:sz w:val="40"/>
          <w:szCs w:val="40"/>
        </w:rPr>
      </w:pPr>
    </w:p>
    <w:p w:rsidR="00FE1EDD" w:rsidRDefault="00FE1EDD" w:rsidP="00731598">
      <w:pPr>
        <w:pStyle w:val="NormalWeb"/>
        <w:rPr>
          <w:rFonts w:asciiTheme="minorHAnsi" w:hAnsiTheme="minorHAnsi" w:cstheme="minorHAnsi"/>
          <w:b/>
          <w:sz w:val="40"/>
          <w:szCs w:val="40"/>
        </w:rPr>
      </w:pPr>
    </w:p>
    <w:p w:rsidR="00FE1EDD" w:rsidRDefault="00FE1EDD" w:rsidP="00731598">
      <w:pPr>
        <w:pStyle w:val="NormalWeb"/>
        <w:rPr>
          <w:rFonts w:asciiTheme="minorHAnsi" w:hAnsiTheme="minorHAnsi" w:cstheme="minorHAnsi"/>
          <w:b/>
          <w:sz w:val="40"/>
          <w:szCs w:val="40"/>
        </w:rPr>
      </w:pPr>
    </w:p>
    <w:p w:rsidR="00FE1EDD" w:rsidRDefault="00FE1EDD" w:rsidP="00731598">
      <w:pPr>
        <w:pStyle w:val="NormalWeb"/>
        <w:rPr>
          <w:rFonts w:asciiTheme="minorHAnsi" w:hAnsiTheme="minorHAnsi" w:cstheme="minorHAnsi"/>
          <w:b/>
          <w:sz w:val="40"/>
          <w:szCs w:val="40"/>
        </w:rPr>
      </w:pPr>
    </w:p>
    <w:p w:rsidR="00FE1EDD" w:rsidRDefault="00FE1EDD" w:rsidP="00731598">
      <w:pPr>
        <w:pStyle w:val="NormalWeb"/>
        <w:rPr>
          <w:rFonts w:asciiTheme="minorHAnsi" w:hAnsiTheme="minorHAnsi" w:cstheme="minorHAnsi"/>
          <w:b/>
          <w:sz w:val="40"/>
          <w:szCs w:val="40"/>
        </w:rPr>
      </w:pPr>
    </w:p>
    <w:p w:rsidR="00731598" w:rsidRDefault="00731598" w:rsidP="00731598">
      <w:pPr>
        <w:pStyle w:val="NormalWeb"/>
        <w:rPr>
          <w:rFonts w:asciiTheme="minorHAnsi" w:hAnsiTheme="minorHAnsi" w:cstheme="minorHAnsi"/>
          <w:b/>
          <w:sz w:val="40"/>
          <w:szCs w:val="40"/>
        </w:rPr>
      </w:pPr>
      <w:r>
        <w:rPr>
          <w:rFonts w:asciiTheme="minorHAnsi" w:hAnsiTheme="minorHAnsi" w:cstheme="minorHAnsi"/>
          <w:b/>
          <w:sz w:val="40"/>
          <w:szCs w:val="40"/>
        </w:rPr>
        <w:lastRenderedPageBreak/>
        <w:t>Section 4</w:t>
      </w:r>
      <w:r w:rsidRPr="0058318C">
        <w:rPr>
          <w:rFonts w:asciiTheme="minorHAnsi" w:hAnsiTheme="minorHAnsi" w:cstheme="minorHAnsi"/>
          <w:b/>
          <w:sz w:val="40"/>
          <w:szCs w:val="40"/>
        </w:rPr>
        <w:t xml:space="preserve">: </w:t>
      </w:r>
      <w:r>
        <w:rPr>
          <w:rFonts w:asciiTheme="minorHAnsi" w:hAnsiTheme="minorHAnsi" w:cstheme="minorHAnsi"/>
          <w:b/>
          <w:sz w:val="40"/>
          <w:szCs w:val="40"/>
        </w:rPr>
        <w:t>USA</w:t>
      </w:r>
      <w:r w:rsidRPr="0058318C">
        <w:rPr>
          <w:rFonts w:asciiTheme="minorHAnsi" w:hAnsiTheme="minorHAnsi" w:cstheme="minorHAnsi"/>
          <w:b/>
          <w:sz w:val="40"/>
          <w:szCs w:val="40"/>
        </w:rPr>
        <w:t xml:space="preserve"> Energy Exports (2016–2025)</w:t>
      </w:r>
    </w:p>
    <w:p w:rsidR="005F2E30" w:rsidRPr="00135FE2" w:rsidRDefault="005F2E30" w:rsidP="005F2E30">
      <w:pPr>
        <w:pStyle w:val="Heading3"/>
        <w:rPr>
          <w:color w:val="000000" w:themeColor="text1"/>
        </w:rPr>
      </w:pPr>
      <w:r w:rsidRPr="00135FE2">
        <w:rPr>
          <w:color w:val="000000" w:themeColor="text1"/>
        </w:rPr>
        <w:t>4.1 Introduction</w:t>
      </w:r>
    </w:p>
    <w:p w:rsidR="005F2E30" w:rsidRDefault="005F2E30" w:rsidP="005F2E30">
      <w:pPr>
        <w:pStyle w:val="NormalWeb"/>
      </w:pPr>
      <w:r>
        <w:t>The Russia–Ukraine conflict and subsequent EU sanctions on Russian oil transformed the U.S. into Europe’s key alternative energy supplier between 2022 and 2025. U.S. crude oil, refined products, and LNG exports expanded rapidly, boosting national revenues and reshaping global trade flows. This section highlights U.S. oil export volumes, trade relations with Europe, and the performance of leading U.S. oil companies during this period.</w:t>
      </w:r>
    </w:p>
    <w:p w:rsidR="007845A8" w:rsidRDefault="003138E5" w:rsidP="00731598">
      <w:pPr>
        <w:pStyle w:val="NormalWeb"/>
        <w:rPr>
          <w:rFonts w:asciiTheme="minorHAnsi" w:hAnsiTheme="minorHAnsi" w:cstheme="minorHAnsi"/>
          <w:b/>
          <w:sz w:val="40"/>
          <w:szCs w:val="40"/>
        </w:rPr>
      </w:pPr>
      <w:r>
        <w:rPr>
          <w:rFonts w:asciiTheme="minorHAnsi" w:hAnsiTheme="minorHAnsi" w:cstheme="minorHAnsi"/>
          <w:b/>
          <w:sz w:val="40"/>
          <w:szCs w:val="40"/>
        </w:rPr>
        <w:pict>
          <v:shape id="_x0000_i1036" type="#_x0000_t75" style="width:454.6pt;height:236.95pt">
            <v:imagedata r:id="rId20" o:title="USA Exports Data"/>
          </v:shape>
        </w:pict>
      </w:r>
    </w:p>
    <w:p w:rsidR="007845A8" w:rsidRDefault="007845A8" w:rsidP="00731598">
      <w:pPr>
        <w:pStyle w:val="NormalWeb"/>
      </w:pPr>
      <w:r>
        <w:t>Figure 12 — U.S. Oil Exports, Company Profits, and Global Oil Price (2022–2025)</w:t>
      </w:r>
    </w:p>
    <w:p w:rsidR="00FE1EDD" w:rsidRDefault="00FE1EDD" w:rsidP="00FE1EDD">
      <w:pPr>
        <w:pStyle w:val="Heading3"/>
        <w:rPr>
          <w:rStyle w:val="Strong"/>
          <w:b/>
          <w:bCs/>
          <w:color w:val="000000" w:themeColor="text1"/>
          <w:sz w:val="28"/>
        </w:rPr>
      </w:pPr>
    </w:p>
    <w:p w:rsidR="00FE1EDD" w:rsidRPr="00891C07" w:rsidRDefault="00FE1EDD" w:rsidP="00FE1EDD">
      <w:pPr>
        <w:pStyle w:val="Heading3"/>
        <w:rPr>
          <w:color w:val="000000" w:themeColor="text1"/>
          <w:sz w:val="28"/>
        </w:rPr>
      </w:pPr>
      <w:r w:rsidRPr="00891C07">
        <w:rPr>
          <w:rStyle w:val="Strong"/>
          <w:b/>
          <w:bCs/>
          <w:color w:val="000000" w:themeColor="text1"/>
          <w:sz w:val="28"/>
        </w:rPr>
        <w:t>Key Insights &amp; Trends</w:t>
      </w:r>
    </w:p>
    <w:p w:rsidR="00797374" w:rsidRDefault="00797374" w:rsidP="00731598">
      <w:pPr>
        <w:pStyle w:val="NormalWeb"/>
      </w:pPr>
      <w:r>
        <w:t>In 2022, U.S. oil exports and company profits soared alongside a spike in global oil prices due to the Russia–Ukraine conflict. However, as India and China began sourcing more oil from Russia, global demand for U.S. crude softened, leading to a decline in oil prices and a corresponding drop in profits through 2023–2025, even though exports remained relatively stable.</w:t>
      </w:r>
      <w:r w:rsidR="00C93F41">
        <w:t xml:space="preserve"> But if Oil Price Continues to Drop below </w:t>
      </w:r>
      <w:r w:rsidR="00CC343C">
        <w:t>$</w:t>
      </w:r>
      <w:r w:rsidR="00C93F41">
        <w:t>60</w:t>
      </w:r>
      <w:r w:rsidR="00CC343C">
        <w:t xml:space="preserve"> per barrel , then US Oil Producing Industry may impact, Since Extraction cost of US Crude is 50$ - 60$ per Barrel,  </w:t>
      </w:r>
    </w:p>
    <w:p w:rsidR="00130DEE" w:rsidRDefault="00130DEE" w:rsidP="00731598">
      <w:pPr>
        <w:pStyle w:val="NormalWeb"/>
        <w:rPr>
          <w:rFonts w:asciiTheme="minorHAnsi" w:hAnsiTheme="minorHAnsi" w:cstheme="minorHAnsi"/>
          <w:b/>
          <w:sz w:val="32"/>
          <w:szCs w:val="40"/>
        </w:rPr>
      </w:pPr>
    </w:p>
    <w:p w:rsidR="00135FE2" w:rsidRDefault="00135FE2" w:rsidP="00731598">
      <w:pPr>
        <w:pStyle w:val="NormalWeb"/>
        <w:rPr>
          <w:rFonts w:asciiTheme="minorHAnsi" w:hAnsiTheme="minorHAnsi" w:cstheme="minorHAnsi"/>
          <w:b/>
          <w:sz w:val="32"/>
          <w:szCs w:val="40"/>
        </w:rPr>
      </w:pPr>
    </w:p>
    <w:p w:rsidR="00135FE2" w:rsidRDefault="00135FE2" w:rsidP="00731598">
      <w:pPr>
        <w:pStyle w:val="NormalWeb"/>
        <w:rPr>
          <w:rFonts w:asciiTheme="minorHAnsi" w:hAnsiTheme="minorHAnsi" w:cstheme="minorHAnsi"/>
          <w:b/>
          <w:sz w:val="32"/>
          <w:szCs w:val="40"/>
        </w:rPr>
      </w:pPr>
    </w:p>
    <w:p w:rsidR="007845A8" w:rsidRDefault="003138E5" w:rsidP="00731598">
      <w:pPr>
        <w:pStyle w:val="NormalWeb"/>
        <w:rPr>
          <w:rFonts w:asciiTheme="minorHAnsi" w:hAnsiTheme="minorHAnsi" w:cstheme="minorHAnsi"/>
          <w:b/>
          <w:sz w:val="22"/>
          <w:szCs w:val="40"/>
        </w:rPr>
      </w:pPr>
      <w:r>
        <w:rPr>
          <w:rFonts w:asciiTheme="minorHAnsi" w:hAnsiTheme="minorHAnsi" w:cstheme="minorHAnsi"/>
          <w:b/>
          <w:sz w:val="22"/>
          <w:szCs w:val="40"/>
        </w:rPr>
        <w:lastRenderedPageBreak/>
        <w:pict>
          <v:shape id="_x0000_i1037" type="#_x0000_t75" style="width:451.25pt;height:223.55pt">
            <v:imagedata r:id="rId21" o:title="USA EU Energy Exports"/>
          </v:shape>
        </w:pict>
      </w:r>
    </w:p>
    <w:p w:rsidR="007845A8" w:rsidRDefault="007845A8" w:rsidP="00731598">
      <w:pPr>
        <w:pStyle w:val="NormalWeb"/>
      </w:pPr>
      <w:r>
        <w:t>Figure 13 — Tra</w:t>
      </w:r>
      <w:r w:rsidR="002B2C02">
        <w:t xml:space="preserve">nsatlantic </w:t>
      </w:r>
      <w:r w:rsidR="002B2C02" w:rsidRPr="002B2C02">
        <w:rPr>
          <w:b/>
        </w:rPr>
        <w:t>U.S</w:t>
      </w:r>
      <w:r w:rsidR="002B2C02">
        <w:t xml:space="preserve">. Energy Exports to </w:t>
      </w:r>
      <w:r w:rsidR="002B2C02" w:rsidRPr="002B2C02">
        <w:rPr>
          <w:b/>
        </w:rPr>
        <w:t>European Union</w:t>
      </w:r>
      <w:r>
        <w:t xml:space="preserve"> (2020–2025)</w:t>
      </w:r>
    </w:p>
    <w:p w:rsidR="00797374" w:rsidRDefault="00797374" w:rsidP="00731598">
      <w:pPr>
        <w:pStyle w:val="NormalWeb"/>
      </w:pPr>
    </w:p>
    <w:p w:rsidR="00FE1EDD" w:rsidRPr="00891C07" w:rsidRDefault="00FE1EDD" w:rsidP="00FE1EDD">
      <w:pPr>
        <w:pStyle w:val="Heading3"/>
        <w:rPr>
          <w:color w:val="000000" w:themeColor="text1"/>
          <w:sz w:val="28"/>
        </w:rPr>
      </w:pPr>
      <w:r w:rsidRPr="00891C07">
        <w:rPr>
          <w:rStyle w:val="Strong"/>
          <w:b/>
          <w:bCs/>
          <w:color w:val="000000" w:themeColor="text1"/>
          <w:sz w:val="28"/>
        </w:rPr>
        <w:t>Key Insights &amp; Trends</w:t>
      </w:r>
    </w:p>
    <w:p w:rsidR="00797374" w:rsidRDefault="00797374" w:rsidP="00731598">
      <w:pPr>
        <w:pStyle w:val="NormalWeb"/>
      </w:pPr>
      <w:r>
        <w:t>The EU’s ban on Russian oil in 2022 triggered a dramatic surge in U.S. crude and LNG exports, turning Europe into the primary destination for American energy. While growth moderated from 2023–2025, the shift established a lasting rerouting of energy flows across the Atlantic.</w:t>
      </w:r>
    </w:p>
    <w:p w:rsidR="00135FE2" w:rsidRDefault="00135FE2" w:rsidP="00731598">
      <w:pPr>
        <w:pStyle w:val="NormalWeb"/>
      </w:pPr>
    </w:p>
    <w:p w:rsidR="007845A8" w:rsidRDefault="003138E5" w:rsidP="00731598">
      <w:pPr>
        <w:pStyle w:val="NormalWeb"/>
      </w:pPr>
      <w:r>
        <w:pict>
          <v:shape id="_x0000_i1038" type="#_x0000_t75" style="width:505.65pt;height:215.15pt">
            <v:imagedata r:id="rId22" o:title="USA TOp oil company net income"/>
          </v:shape>
        </w:pict>
      </w:r>
      <w:r w:rsidR="00584889" w:rsidRPr="00584889">
        <w:t xml:space="preserve"> </w:t>
      </w:r>
      <w:r w:rsidR="00584889" w:rsidRPr="00584889">
        <w:rPr>
          <w:sz w:val="22"/>
        </w:rPr>
        <w:t xml:space="preserve">Figure 14 — Net Revenue of </w:t>
      </w:r>
      <w:r w:rsidR="00584889" w:rsidRPr="002B2C02">
        <w:rPr>
          <w:b/>
          <w:sz w:val="22"/>
        </w:rPr>
        <w:t>Top 3 U.S. Oil Companies</w:t>
      </w:r>
      <w:r w:rsidR="00584889" w:rsidRPr="00584889">
        <w:rPr>
          <w:sz w:val="22"/>
        </w:rPr>
        <w:t xml:space="preserve"> (Chevron, ConocoPhillips, ExxonMobil), 2022–2025  </w:t>
      </w:r>
    </w:p>
    <w:p w:rsidR="00797374" w:rsidRDefault="00797374" w:rsidP="00797374">
      <w:pPr>
        <w:pStyle w:val="NormalWeb"/>
        <w:rPr>
          <w:rFonts w:ascii="Segoe UI Semibold" w:hAnsi="Segoe UI Semibold" w:cs="Segoe UI Semibold"/>
          <w:b/>
          <w:sz w:val="28"/>
        </w:rPr>
      </w:pPr>
    </w:p>
    <w:p w:rsidR="00FE1EDD" w:rsidRPr="00891C07" w:rsidRDefault="00FE1EDD" w:rsidP="00FE1EDD">
      <w:pPr>
        <w:pStyle w:val="Heading3"/>
        <w:rPr>
          <w:color w:val="000000" w:themeColor="text1"/>
          <w:sz w:val="28"/>
        </w:rPr>
      </w:pPr>
      <w:r w:rsidRPr="00891C07">
        <w:rPr>
          <w:rStyle w:val="Strong"/>
          <w:b/>
          <w:bCs/>
          <w:color w:val="000000" w:themeColor="text1"/>
          <w:sz w:val="28"/>
        </w:rPr>
        <w:lastRenderedPageBreak/>
        <w:t>Key Insights &amp; Trends</w:t>
      </w:r>
    </w:p>
    <w:p w:rsidR="00130DEE" w:rsidRPr="00130DEE" w:rsidRDefault="00130DEE" w:rsidP="00130DEE">
      <w:pPr>
        <w:spacing w:before="100" w:beforeAutospacing="1" w:after="100" w:afterAutospacing="1" w:line="240" w:lineRule="auto"/>
        <w:rPr>
          <w:rFonts w:ascii="Times New Roman" w:eastAsia="Times New Roman" w:hAnsi="Times New Roman" w:cs="Times New Roman"/>
          <w:sz w:val="24"/>
          <w:szCs w:val="24"/>
          <w:lang w:eastAsia="en-IN"/>
        </w:rPr>
      </w:pPr>
      <w:r w:rsidRPr="00130DEE">
        <w:rPr>
          <w:rFonts w:ascii="Times New Roman" w:eastAsia="Times New Roman" w:hAnsi="Times New Roman" w:cs="Times New Roman"/>
          <w:sz w:val="24"/>
          <w:szCs w:val="24"/>
          <w:lang w:eastAsia="en-IN"/>
        </w:rPr>
        <w:t xml:space="preserve">U.S. oil majors companies </w:t>
      </w:r>
      <w:r w:rsidRPr="002B2C02">
        <w:rPr>
          <w:rFonts w:ascii="Times New Roman" w:eastAsia="Times New Roman" w:hAnsi="Times New Roman" w:cs="Times New Roman"/>
          <w:b/>
          <w:sz w:val="24"/>
          <w:szCs w:val="24"/>
          <w:lang w:eastAsia="en-IN"/>
        </w:rPr>
        <w:t>enjoyed record revenues in 2022</w:t>
      </w:r>
      <w:r w:rsidRPr="00130DEE">
        <w:rPr>
          <w:rFonts w:ascii="Times New Roman" w:eastAsia="Times New Roman" w:hAnsi="Times New Roman" w:cs="Times New Roman"/>
          <w:sz w:val="24"/>
          <w:szCs w:val="24"/>
          <w:lang w:eastAsia="en-IN"/>
        </w:rPr>
        <w:t xml:space="preserve">, closely tracking Brent prices. With India and China ramping up Russian oil imports, global oil prices softened, causing revenues and </w:t>
      </w:r>
      <w:r w:rsidRPr="002B2C02">
        <w:rPr>
          <w:rFonts w:ascii="Times New Roman" w:eastAsia="Times New Roman" w:hAnsi="Times New Roman" w:cs="Times New Roman"/>
          <w:b/>
          <w:sz w:val="24"/>
          <w:szCs w:val="24"/>
          <w:lang w:eastAsia="en-IN"/>
        </w:rPr>
        <w:t>profits to drop in 2023–2025</w:t>
      </w:r>
      <w:r w:rsidRPr="00130DEE">
        <w:rPr>
          <w:rFonts w:ascii="Times New Roman" w:eastAsia="Times New Roman" w:hAnsi="Times New Roman" w:cs="Times New Roman"/>
          <w:sz w:val="24"/>
          <w:szCs w:val="24"/>
          <w:lang w:eastAsia="en-IN"/>
        </w:rPr>
        <w:t>, though they remained above pre-2022 levels due to continued strong export demand elsewhere.</w:t>
      </w:r>
    </w:p>
    <w:p w:rsidR="007845A8" w:rsidRDefault="007845A8" w:rsidP="00731598">
      <w:pPr>
        <w:pStyle w:val="NormalWeb"/>
        <w:rPr>
          <w:rFonts w:asciiTheme="minorHAnsi" w:hAnsiTheme="minorHAnsi" w:cstheme="minorHAnsi"/>
          <w:b/>
          <w:sz w:val="22"/>
          <w:szCs w:val="40"/>
        </w:rPr>
      </w:pPr>
    </w:p>
    <w:p w:rsidR="00584889" w:rsidRDefault="00584889" w:rsidP="00731598">
      <w:pPr>
        <w:pStyle w:val="NormalWeb"/>
        <w:rPr>
          <w:rFonts w:asciiTheme="minorHAnsi" w:hAnsiTheme="minorHAnsi" w:cstheme="minorHAnsi"/>
          <w:b/>
          <w:sz w:val="22"/>
          <w:szCs w:val="40"/>
        </w:rPr>
      </w:pPr>
    </w:p>
    <w:p w:rsidR="00584889" w:rsidRDefault="00584889" w:rsidP="00731598">
      <w:pPr>
        <w:pStyle w:val="NormalWeb"/>
        <w:rPr>
          <w:rFonts w:asciiTheme="minorHAnsi" w:hAnsiTheme="minorHAnsi" w:cstheme="minorHAnsi"/>
          <w:b/>
          <w:sz w:val="22"/>
          <w:szCs w:val="40"/>
        </w:rPr>
      </w:pPr>
    </w:p>
    <w:p w:rsidR="007845A8" w:rsidRPr="007845A8" w:rsidRDefault="007845A8" w:rsidP="00731598">
      <w:pPr>
        <w:pStyle w:val="NormalWeb"/>
        <w:rPr>
          <w:rFonts w:asciiTheme="minorHAnsi" w:hAnsiTheme="minorHAnsi" w:cstheme="minorHAnsi"/>
          <w:b/>
          <w:sz w:val="22"/>
          <w:szCs w:val="40"/>
        </w:rPr>
      </w:pPr>
    </w:p>
    <w:p w:rsidR="00FE1EDD" w:rsidRDefault="00FE1EDD" w:rsidP="00E7113C">
      <w:pPr>
        <w:rPr>
          <w:b/>
          <w:sz w:val="48"/>
          <w:szCs w:val="48"/>
        </w:rPr>
      </w:pPr>
    </w:p>
    <w:p w:rsidR="00FE1EDD" w:rsidRDefault="00FE1EDD" w:rsidP="00E7113C">
      <w:pPr>
        <w:rPr>
          <w:b/>
          <w:sz w:val="48"/>
          <w:szCs w:val="48"/>
        </w:rPr>
      </w:pPr>
    </w:p>
    <w:p w:rsidR="00FE1EDD" w:rsidRDefault="00FE1EDD" w:rsidP="00E7113C">
      <w:pPr>
        <w:rPr>
          <w:b/>
          <w:sz w:val="48"/>
          <w:szCs w:val="48"/>
        </w:rPr>
      </w:pPr>
    </w:p>
    <w:p w:rsidR="00FE1EDD" w:rsidRDefault="00FE1EDD" w:rsidP="00E7113C">
      <w:pPr>
        <w:rPr>
          <w:b/>
          <w:sz w:val="48"/>
          <w:szCs w:val="48"/>
        </w:rPr>
      </w:pPr>
    </w:p>
    <w:p w:rsidR="00FE1EDD" w:rsidRDefault="00FE1EDD" w:rsidP="00E7113C">
      <w:pPr>
        <w:rPr>
          <w:b/>
          <w:sz w:val="48"/>
          <w:szCs w:val="48"/>
        </w:rPr>
      </w:pPr>
    </w:p>
    <w:p w:rsidR="00FE1EDD" w:rsidRDefault="00FE1EDD" w:rsidP="00E7113C">
      <w:pPr>
        <w:rPr>
          <w:b/>
          <w:sz w:val="48"/>
          <w:szCs w:val="48"/>
        </w:rPr>
      </w:pPr>
    </w:p>
    <w:p w:rsidR="00FE1EDD" w:rsidRDefault="00FE1EDD" w:rsidP="00E7113C">
      <w:pPr>
        <w:rPr>
          <w:b/>
          <w:sz w:val="48"/>
          <w:szCs w:val="48"/>
        </w:rPr>
      </w:pPr>
    </w:p>
    <w:p w:rsidR="00FE1EDD" w:rsidRDefault="00FE1EDD" w:rsidP="00E7113C">
      <w:pPr>
        <w:rPr>
          <w:b/>
          <w:sz w:val="48"/>
          <w:szCs w:val="48"/>
        </w:rPr>
      </w:pPr>
    </w:p>
    <w:p w:rsidR="00FE1EDD" w:rsidRDefault="00FE1EDD" w:rsidP="00E7113C">
      <w:pPr>
        <w:rPr>
          <w:b/>
          <w:sz w:val="48"/>
          <w:szCs w:val="48"/>
        </w:rPr>
      </w:pPr>
    </w:p>
    <w:p w:rsidR="00FE1EDD" w:rsidRDefault="00FE1EDD" w:rsidP="00E7113C">
      <w:pPr>
        <w:rPr>
          <w:b/>
          <w:sz w:val="48"/>
          <w:szCs w:val="48"/>
        </w:rPr>
      </w:pPr>
    </w:p>
    <w:p w:rsidR="00FE1EDD" w:rsidRDefault="00FE1EDD" w:rsidP="00E7113C">
      <w:pPr>
        <w:rPr>
          <w:b/>
          <w:sz w:val="48"/>
          <w:szCs w:val="48"/>
        </w:rPr>
      </w:pPr>
    </w:p>
    <w:p w:rsidR="005A7344" w:rsidRPr="005A7344" w:rsidRDefault="00E7113C" w:rsidP="00E7113C">
      <w:pPr>
        <w:rPr>
          <w:b/>
          <w:sz w:val="44"/>
          <w:szCs w:val="48"/>
        </w:rPr>
      </w:pPr>
      <w:r w:rsidRPr="005A7344">
        <w:rPr>
          <w:b/>
          <w:sz w:val="44"/>
          <w:szCs w:val="48"/>
        </w:rPr>
        <w:lastRenderedPageBreak/>
        <w:t>Section 5 — Morality</w:t>
      </w:r>
      <w:r w:rsidR="005A7344" w:rsidRPr="005A7344">
        <w:rPr>
          <w:b/>
          <w:sz w:val="44"/>
          <w:szCs w:val="48"/>
        </w:rPr>
        <w:t xml:space="preserve"> and Ethics</w:t>
      </w:r>
      <w:r w:rsidRPr="005A7344">
        <w:rPr>
          <w:b/>
          <w:sz w:val="44"/>
          <w:szCs w:val="48"/>
        </w:rPr>
        <w:t xml:space="preserve"> or Profit</w:t>
      </w:r>
      <w:r w:rsidR="00347D64" w:rsidRPr="005A7344">
        <w:rPr>
          <w:b/>
          <w:sz w:val="44"/>
          <w:szCs w:val="48"/>
        </w:rPr>
        <w:t xml:space="preserve"> </w:t>
      </w:r>
    </w:p>
    <w:p w:rsidR="005A7344" w:rsidRPr="005A7344" w:rsidRDefault="005A7344" w:rsidP="005A7344">
      <w:pPr>
        <w:spacing w:before="100" w:beforeAutospacing="1" w:after="100" w:afterAutospacing="1" w:line="240" w:lineRule="auto"/>
        <w:rPr>
          <w:rFonts w:ascii="Times New Roman" w:eastAsia="Times New Roman" w:hAnsi="Times New Roman" w:cs="Times New Roman"/>
          <w:sz w:val="24"/>
          <w:szCs w:val="24"/>
          <w:lang w:eastAsia="en-IN"/>
        </w:rPr>
      </w:pPr>
      <w:r w:rsidRPr="005A7344">
        <w:rPr>
          <w:rFonts w:ascii="Times New Roman" w:eastAsia="Times New Roman" w:hAnsi="Times New Roman" w:cs="Times New Roman"/>
          <w:sz w:val="24"/>
          <w:szCs w:val="24"/>
          <w:lang w:eastAsia="en-IN"/>
        </w:rPr>
        <w:t xml:space="preserve">Despite leading global sanctions against </w:t>
      </w:r>
      <w:r w:rsidRPr="005A7344">
        <w:rPr>
          <w:rFonts w:ascii="Times New Roman" w:eastAsia="Times New Roman" w:hAnsi="Times New Roman" w:cs="Times New Roman"/>
          <w:b/>
          <w:sz w:val="24"/>
          <w:szCs w:val="24"/>
          <w:lang w:eastAsia="en-IN"/>
        </w:rPr>
        <w:t>Russia</w:t>
      </w:r>
      <w:r w:rsidRPr="005A7344">
        <w:rPr>
          <w:rFonts w:ascii="Times New Roman" w:eastAsia="Times New Roman" w:hAnsi="Times New Roman" w:cs="Times New Roman"/>
          <w:sz w:val="24"/>
          <w:szCs w:val="24"/>
          <w:lang w:eastAsia="en-IN"/>
        </w:rPr>
        <w:t xml:space="preserve"> following the 2022 Ukraine conflict, the </w:t>
      </w:r>
      <w:r w:rsidRPr="005A7344">
        <w:rPr>
          <w:rFonts w:ascii="Times New Roman" w:eastAsia="Times New Roman" w:hAnsi="Times New Roman" w:cs="Times New Roman"/>
          <w:b/>
          <w:sz w:val="24"/>
          <w:szCs w:val="24"/>
          <w:lang w:eastAsia="en-IN"/>
        </w:rPr>
        <w:t>United States</w:t>
      </w:r>
      <w:r w:rsidRPr="005A7344">
        <w:rPr>
          <w:rFonts w:ascii="Times New Roman" w:eastAsia="Times New Roman" w:hAnsi="Times New Roman" w:cs="Times New Roman"/>
          <w:sz w:val="24"/>
          <w:szCs w:val="24"/>
          <w:lang w:eastAsia="en-IN"/>
        </w:rPr>
        <w:t xml:space="preserve"> continues to </w:t>
      </w:r>
      <w:r w:rsidRPr="005A7344">
        <w:rPr>
          <w:rFonts w:ascii="Times New Roman" w:eastAsia="Times New Roman" w:hAnsi="Times New Roman" w:cs="Times New Roman"/>
          <w:b/>
          <w:sz w:val="24"/>
          <w:szCs w:val="24"/>
          <w:lang w:eastAsia="en-IN"/>
        </w:rPr>
        <w:t>import</w:t>
      </w:r>
      <w:r w:rsidRPr="005A7344">
        <w:rPr>
          <w:rFonts w:ascii="Times New Roman" w:eastAsia="Times New Roman" w:hAnsi="Times New Roman" w:cs="Times New Roman"/>
          <w:sz w:val="24"/>
          <w:szCs w:val="24"/>
          <w:lang w:eastAsia="en-IN"/>
        </w:rPr>
        <w:t xml:space="preserve"> essential commodities like </w:t>
      </w:r>
      <w:r w:rsidRPr="005A7344">
        <w:rPr>
          <w:rFonts w:ascii="Times New Roman" w:eastAsia="Times New Roman" w:hAnsi="Times New Roman" w:cs="Times New Roman"/>
          <w:b/>
          <w:sz w:val="24"/>
          <w:szCs w:val="24"/>
          <w:lang w:eastAsia="en-IN"/>
        </w:rPr>
        <w:t>uranium</w:t>
      </w:r>
      <w:r w:rsidRPr="005A7344">
        <w:rPr>
          <w:rFonts w:ascii="Times New Roman" w:eastAsia="Times New Roman" w:hAnsi="Times New Roman" w:cs="Times New Roman"/>
          <w:sz w:val="24"/>
          <w:szCs w:val="24"/>
          <w:lang w:eastAsia="en-IN"/>
        </w:rPr>
        <w:t xml:space="preserve">, </w:t>
      </w:r>
      <w:r w:rsidRPr="005A7344">
        <w:rPr>
          <w:rFonts w:ascii="Times New Roman" w:eastAsia="Times New Roman" w:hAnsi="Times New Roman" w:cs="Times New Roman"/>
          <w:b/>
          <w:sz w:val="24"/>
          <w:szCs w:val="24"/>
          <w:lang w:eastAsia="en-IN"/>
        </w:rPr>
        <w:t>fertilizers</w:t>
      </w:r>
      <w:r w:rsidRPr="005A7344">
        <w:rPr>
          <w:rFonts w:ascii="Times New Roman" w:eastAsia="Times New Roman" w:hAnsi="Times New Roman" w:cs="Times New Roman"/>
          <w:sz w:val="24"/>
          <w:szCs w:val="24"/>
          <w:lang w:eastAsia="en-IN"/>
        </w:rPr>
        <w:t xml:space="preserve">, and </w:t>
      </w:r>
      <w:r w:rsidRPr="005A7344">
        <w:rPr>
          <w:rFonts w:ascii="Times New Roman" w:eastAsia="Times New Roman" w:hAnsi="Times New Roman" w:cs="Times New Roman"/>
          <w:b/>
          <w:sz w:val="24"/>
          <w:szCs w:val="24"/>
          <w:lang w:eastAsia="en-IN"/>
        </w:rPr>
        <w:t>energy</w:t>
      </w:r>
      <w:r w:rsidRPr="005A7344">
        <w:rPr>
          <w:rFonts w:ascii="Times New Roman" w:eastAsia="Times New Roman" w:hAnsi="Times New Roman" w:cs="Times New Roman"/>
          <w:sz w:val="24"/>
          <w:szCs w:val="24"/>
          <w:lang w:eastAsia="en-IN"/>
        </w:rPr>
        <w:t>, with im</w:t>
      </w:r>
      <w:r>
        <w:rPr>
          <w:rFonts w:ascii="Times New Roman" w:eastAsia="Times New Roman" w:hAnsi="Times New Roman" w:cs="Times New Roman"/>
          <w:sz w:val="24"/>
          <w:szCs w:val="24"/>
          <w:lang w:eastAsia="en-IN"/>
        </w:rPr>
        <w:t xml:space="preserve">ports valued at approximately </w:t>
      </w:r>
      <w:r w:rsidRPr="00E30151">
        <w:rPr>
          <w:rFonts w:ascii="Times New Roman" w:eastAsia="Times New Roman" w:hAnsi="Times New Roman" w:cs="Times New Roman"/>
          <w:b/>
          <w:sz w:val="24"/>
          <w:szCs w:val="24"/>
          <w:lang w:eastAsia="en-IN"/>
        </w:rPr>
        <w:t>$3 b</w:t>
      </w:r>
      <w:r w:rsidRPr="005A7344">
        <w:rPr>
          <w:rFonts w:ascii="Times New Roman" w:eastAsia="Times New Roman" w:hAnsi="Times New Roman" w:cs="Times New Roman"/>
          <w:b/>
          <w:sz w:val="24"/>
          <w:szCs w:val="24"/>
          <w:lang w:eastAsia="en-IN"/>
        </w:rPr>
        <w:t>illion in 2024</w:t>
      </w:r>
      <w:r w:rsidRPr="005A7344">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Figure 16</w:t>
      </w:r>
      <w:r w:rsidRPr="005A7344">
        <w:rPr>
          <w:rFonts w:ascii="Times New Roman" w:eastAsia="Times New Roman" w:hAnsi="Times New Roman" w:cs="Times New Roman"/>
          <w:sz w:val="24"/>
          <w:szCs w:val="24"/>
          <w:lang w:eastAsia="en-IN"/>
        </w:rPr>
        <w:t>). Similarly, Ukraine, a key advocate for sanctions, emerged as a top importer of diesel refined from Russian crude in India, sourcing 18.5% of its diesel imports from India in August 20</w:t>
      </w:r>
      <w:r>
        <w:rPr>
          <w:rFonts w:ascii="Times New Roman" w:eastAsia="Times New Roman" w:hAnsi="Times New Roman" w:cs="Times New Roman"/>
          <w:sz w:val="24"/>
          <w:szCs w:val="24"/>
          <w:lang w:eastAsia="en-IN"/>
        </w:rPr>
        <w:t>25 due to lower costs (Figure 15</w:t>
      </w:r>
      <w:r w:rsidRPr="005A7344">
        <w:rPr>
          <w:rFonts w:ascii="Times New Roman" w:eastAsia="Times New Roman" w:hAnsi="Times New Roman" w:cs="Times New Roman"/>
          <w:sz w:val="24"/>
          <w:szCs w:val="24"/>
          <w:lang w:eastAsia="en-IN"/>
        </w:rPr>
        <w:t>). These examples highlight the tension between geopolitical ethics and economic incentives, demonstrating that global energy and commodity markets prioritize profit and necessity over moral or political considerations, even amid sanctions and geopolitical pressures.</w:t>
      </w:r>
    </w:p>
    <w:p w:rsidR="00FE1EDD" w:rsidRDefault="00FE1EDD" w:rsidP="00E7113C">
      <w:pPr>
        <w:rPr>
          <w:b/>
          <w:sz w:val="36"/>
        </w:rPr>
      </w:pPr>
    </w:p>
    <w:p w:rsidR="00FE1EDD" w:rsidRPr="005A7344" w:rsidRDefault="00FE1EDD" w:rsidP="00E7113C">
      <w:pPr>
        <w:rPr>
          <w:b/>
          <w:noProof/>
          <w:sz w:val="44"/>
          <w:lang w:eastAsia="en-IN"/>
        </w:rPr>
      </w:pPr>
      <w:r w:rsidRPr="005A7344">
        <w:rPr>
          <w:b/>
          <w:noProof/>
          <w:sz w:val="44"/>
          <w:lang w:eastAsia="en-IN"/>
        </w:rPr>
        <w:t>Ukraine Diesel Imports</w:t>
      </w:r>
    </w:p>
    <w:p w:rsidR="002705C4" w:rsidRPr="00FE1EDD" w:rsidRDefault="005A7344" w:rsidP="00E7113C">
      <w:pPr>
        <w:rPr>
          <w:b/>
          <w:noProof/>
          <w:sz w:val="48"/>
          <w:lang w:eastAsia="en-IN"/>
        </w:rPr>
      </w:pPr>
      <w:r>
        <w:rPr>
          <w:b/>
          <w:noProof/>
          <w:sz w:val="52"/>
          <w:lang w:eastAsia="en-IN"/>
        </w:rPr>
        <w:pict>
          <v:shape id="_x0000_i1039" type="#_x0000_t75" style="width:309.75pt;height:223.55pt">
            <v:imagedata r:id="rId23" o:title="Ukraine Diesel Imports Share"/>
          </v:shape>
        </w:pict>
      </w:r>
    </w:p>
    <w:p w:rsidR="002705C4" w:rsidRDefault="0023341E" w:rsidP="00E7113C">
      <w:r>
        <w:t>Figure 15</w:t>
      </w:r>
      <w:r w:rsidR="002705C4">
        <w:t>— Ukraine’s Top Diesel Suppliers by Share, August 2025</w:t>
      </w:r>
    </w:p>
    <w:p w:rsidR="00127F73" w:rsidRDefault="00DB0EE6" w:rsidP="00E7113C">
      <w:r>
        <w:rPr>
          <w:noProof/>
          <w:lang w:eastAsia="en-IN"/>
        </w:rPr>
        <mc:AlternateContent>
          <mc:Choice Requires="wps">
            <w:drawing>
              <wp:anchor distT="0" distB="0" distL="114300" distR="114300" simplePos="0" relativeHeight="251665408" behindDoc="0" locked="0" layoutInCell="1" allowOverlap="1" wp14:editId="36B11C9B">
                <wp:simplePos x="0" y="0"/>
                <wp:positionH relativeFrom="column">
                  <wp:posOffset>4563538</wp:posOffset>
                </wp:positionH>
                <wp:positionV relativeFrom="paragraph">
                  <wp:posOffset>74428</wp:posOffset>
                </wp:positionV>
                <wp:extent cx="1754372" cy="425095"/>
                <wp:effectExtent l="0" t="0" r="17780" b="133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372" cy="425095"/>
                        </a:xfrm>
                        <a:prstGeom prst="rect">
                          <a:avLst/>
                        </a:prstGeom>
                        <a:solidFill>
                          <a:srgbClr val="CC99FF"/>
                        </a:solidFill>
                        <a:ln w="9525">
                          <a:solidFill>
                            <a:srgbClr val="000000"/>
                          </a:solidFill>
                          <a:miter lim="800000"/>
                          <a:headEnd/>
                          <a:tailEnd/>
                        </a:ln>
                      </wps:spPr>
                      <wps:txbx>
                        <w:txbxContent>
                          <w:p w:rsidR="00DB0EE6" w:rsidRPr="00DB0EE6" w:rsidRDefault="00DB0EE6">
                            <w:pPr>
                              <w:rPr>
                                <w:sz w:val="20"/>
                                <w:lang w:val="en-US"/>
                              </w:rPr>
                            </w:pPr>
                            <w:r w:rsidRPr="00DB0EE6">
                              <w:rPr>
                                <w:sz w:val="20"/>
                                <w:lang w:val="en-US"/>
                              </w:rPr>
                              <w:t xml:space="preserve">Purchased as Refined Diesel by </w:t>
                            </w:r>
                            <w:r w:rsidRPr="00DB0EE6">
                              <w:rPr>
                                <w:b/>
                                <w:sz w:val="20"/>
                                <w:lang w:val="en-US"/>
                              </w:rPr>
                              <w:t>Ukraine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59.35pt;margin-top:5.85pt;width:138.15pt;height:3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" fillcolor="#c9f">
                <v:textbox>
                  <w:txbxContent>
                    <w:p w:rsidR="00DB0EE6" w:rsidRPr="00DB0EE6" w:rsidRDefault="00DB0EE6">
                      <w:pPr>
                        <w:rPr>
                          <w:sz w:val="20"/>
                          <w:lang w:val="en-US"/>
                        </w:rPr>
                      </w:pPr>
                      <w:r w:rsidRPr="00DB0EE6">
                        <w:rPr>
                          <w:sz w:val="20"/>
                          <w:lang w:val="en-US"/>
                        </w:rPr>
                        <w:t xml:space="preserve">Purchased as Refined Diesel by </w:t>
                      </w:r>
                      <w:r w:rsidRPr="00DB0EE6">
                        <w:rPr>
                          <w:b/>
                          <w:sz w:val="20"/>
                          <w:lang w:val="en-US"/>
                        </w:rPr>
                        <w:t>Ukraine</w:t>
                      </w:r>
                    </w:p>
                  </w:txbxContent>
                </v:textbox>
              </v:shape>
            </w:pict>
          </mc:Fallback>
        </mc:AlternateContent>
      </w:r>
      <w:r>
        <w:rPr>
          <w:rFonts w:asciiTheme="majorHAnsi" w:eastAsiaTheme="majorEastAsia" w:hAnsiTheme="majorHAnsi" w:cstheme="majorBidi"/>
          <w:i/>
          <w:iCs/>
          <w:noProof/>
          <w:sz w:val="28"/>
          <w:szCs w:val="28"/>
          <w:lang w:eastAsia="en-IN"/>
        </w:rPr>
        <mc:AlternateContent>
          <mc:Choice Requires="wps">
            <w:drawing>
              <wp:anchor distT="0" distB="0" distL="114300" distR="114300" simplePos="0" relativeHeight="251663360" behindDoc="0" locked="0" layoutInCell="1" allowOverlap="1">
                <wp:simplePos x="0" y="0"/>
                <wp:positionH relativeFrom="column">
                  <wp:posOffset>3944428</wp:posOffset>
                </wp:positionH>
                <wp:positionV relativeFrom="paragraph">
                  <wp:posOffset>278573</wp:posOffset>
                </wp:positionV>
                <wp:extent cx="616939" cy="0"/>
                <wp:effectExtent l="0" t="133350" r="0" b="171450"/>
                <wp:wrapNone/>
                <wp:docPr id="5" name="Straight Arrow Connector 5"/>
                <wp:cNvGraphicFramePr/>
                <a:graphic xmlns:a="http://schemas.openxmlformats.org/drawingml/2006/main">
                  <a:graphicData uri="http://schemas.microsoft.com/office/word/2010/wordprocessingShape">
                    <wps:wsp>
                      <wps:cNvCnPr/>
                      <wps:spPr>
                        <a:xfrm>
                          <a:off x="0" y="0"/>
                          <a:ext cx="616939"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310.6pt;margin-top:21.95pt;width:48.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" strokecolor="black [3200]" strokeweight="3pt">
                <v:stroke endarrow="open"/>
                <v:shadow on="t" color="black" opacity="22937f" origin=",.5" offset="0,.63889mm"/>
              </v:shape>
            </w:pict>
          </mc:Fallback>
        </mc:AlternateContent>
      </w:r>
      <w:r w:rsidRPr="00DB0EE6">
        <w:rPr>
          <w:rFonts w:asciiTheme="majorHAnsi" w:eastAsiaTheme="majorEastAsia" w:hAnsiTheme="majorHAnsi" w:cstheme="majorBidi"/>
          <w:i/>
          <w:iCs/>
          <w:noProof/>
          <w:sz w:val="28"/>
          <w:szCs w:val="28"/>
          <w:lang w:eastAsia="en-IN"/>
        </w:rPr>
        <mc:AlternateContent>
          <mc:Choice Requires="wps">
            <w:drawing>
              <wp:anchor distT="0" distB="0" distL="114300" distR="114300" simplePos="0" relativeHeight="251662336" behindDoc="0" locked="0" layoutInCell="1" allowOverlap="1" wp14:editId="36B11C9B">
                <wp:simplePos x="0" y="0"/>
                <wp:positionH relativeFrom="column">
                  <wp:posOffset>1920757</wp:posOffset>
                </wp:positionH>
                <wp:positionV relativeFrom="paragraph">
                  <wp:posOffset>31898</wp:posOffset>
                </wp:positionV>
                <wp:extent cx="2020186" cy="425095"/>
                <wp:effectExtent l="0" t="0" r="18415" b="133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186" cy="425095"/>
                        </a:xfrm>
                        <a:prstGeom prst="rect">
                          <a:avLst/>
                        </a:prstGeom>
                        <a:solidFill>
                          <a:srgbClr val="FFC000"/>
                        </a:solidFill>
                        <a:ln w="9525">
                          <a:solidFill>
                            <a:srgbClr val="000000"/>
                          </a:solidFill>
                          <a:miter lim="800000"/>
                          <a:headEnd/>
                          <a:tailEnd/>
                        </a:ln>
                      </wps:spPr>
                      <wps:txbx>
                        <w:txbxContent>
                          <w:p w:rsidR="00DB0EE6" w:rsidRPr="00DB0EE6" w:rsidRDefault="00DB0EE6">
                            <w:pPr>
                              <w:rPr>
                                <w:sz w:val="20"/>
                                <w:lang w:val="en-US"/>
                              </w:rPr>
                            </w:pPr>
                            <w:r w:rsidRPr="00DB0EE6">
                              <w:rPr>
                                <w:sz w:val="20"/>
                                <w:lang w:val="en-US"/>
                              </w:rPr>
                              <w:t xml:space="preserve">Purchased and Refined at </w:t>
                            </w:r>
                            <w:r w:rsidRPr="00DB0EE6">
                              <w:rPr>
                                <w:b/>
                                <w:sz w:val="20"/>
                                <w:lang w:val="en-US"/>
                              </w:rPr>
                              <w:t>Indian</w:t>
                            </w:r>
                            <w:r w:rsidRPr="00DB0EE6">
                              <w:rPr>
                                <w:sz w:val="20"/>
                                <w:lang w:val="en-US"/>
                              </w:rPr>
                              <w:t xml:space="preserve"> Refineries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1.25pt;margin-top:2.5pt;width:159.05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" fillcolor="#ffc000">
                <v:textbox>
                  <w:txbxContent>
                    <w:p w:rsidR="00DB0EE6" w:rsidRPr="00DB0EE6" w:rsidRDefault="00DB0EE6">
                      <w:pPr>
                        <w:rPr>
                          <w:sz w:val="20"/>
                          <w:lang w:val="en-US"/>
                        </w:rPr>
                      </w:pPr>
                      <w:r w:rsidRPr="00DB0EE6">
                        <w:rPr>
                          <w:sz w:val="20"/>
                          <w:lang w:val="en-US"/>
                        </w:rPr>
                        <w:t xml:space="preserve">Purchased and Refined at </w:t>
                      </w:r>
                      <w:r w:rsidRPr="00DB0EE6">
                        <w:rPr>
                          <w:b/>
                          <w:sz w:val="20"/>
                          <w:lang w:val="en-US"/>
                        </w:rPr>
                        <w:t>Indian</w:t>
                      </w:r>
                      <w:r w:rsidRPr="00DB0EE6">
                        <w:rPr>
                          <w:sz w:val="20"/>
                          <w:lang w:val="en-US"/>
                        </w:rPr>
                        <w:t xml:space="preserve"> Refineries</w:t>
                      </w:r>
                    </w:p>
                  </w:txbxContent>
                </v:textbox>
              </v:shape>
            </w:pict>
          </mc:Fallback>
        </mc:AlternateContent>
      </w:r>
      <w:r>
        <w:rPr>
          <w:noProof/>
          <w:lang w:eastAsia="en-IN"/>
        </w:rPr>
        <mc:AlternateContent>
          <mc:Choice Requires="wps">
            <w:drawing>
              <wp:anchor distT="0" distB="0" distL="114300" distR="114300" simplePos="0" relativeHeight="251660288" behindDoc="0" locked="0" layoutInCell="1" allowOverlap="1">
                <wp:simplePos x="0" y="0"/>
                <wp:positionH relativeFrom="column">
                  <wp:posOffset>1275907</wp:posOffset>
                </wp:positionH>
                <wp:positionV relativeFrom="paragraph">
                  <wp:posOffset>278573</wp:posOffset>
                </wp:positionV>
                <wp:extent cx="648586" cy="0"/>
                <wp:effectExtent l="0" t="133350" r="0" b="171450"/>
                <wp:wrapNone/>
                <wp:docPr id="3" name="Straight Arrow Connector 3"/>
                <wp:cNvGraphicFramePr/>
                <a:graphic xmlns:a="http://schemas.openxmlformats.org/drawingml/2006/main">
                  <a:graphicData uri="http://schemas.microsoft.com/office/word/2010/wordprocessingShape">
                    <wps:wsp>
                      <wps:cNvCnPr/>
                      <wps:spPr>
                        <a:xfrm>
                          <a:off x="0" y="0"/>
                          <a:ext cx="648586"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 o:spid="_x0000_s1026" type="#_x0000_t32" style="position:absolute;margin-left:100.45pt;margin-top:21.95pt;width:51.0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" strokecolor="black [3200]" strokeweight="3pt">
                <v:stroke endarrow="open"/>
                <v:shadow on="t" color="black" opacity="22937f" origin=",.5" offset="0,.63889mm"/>
              </v:shape>
            </w:pict>
          </mc:Fallback>
        </mc:AlternateContent>
      </w:r>
      <w:r>
        <w:rPr>
          <w:noProof/>
          <w:lang w:eastAsia="en-IN"/>
        </w:rPr>
        <mc:AlternateContent>
          <mc:Choice Requires="wps">
            <w:drawing>
              <wp:anchor distT="0" distB="0" distL="114300" distR="114300" simplePos="0" relativeHeight="251659264" behindDoc="0" locked="0" layoutInCell="1" allowOverlap="1" wp14:anchorId="3A1B697C" wp14:editId="48AA9310">
                <wp:simplePos x="0" y="0"/>
                <wp:positionH relativeFrom="column">
                  <wp:posOffset>0</wp:posOffset>
                </wp:positionH>
                <wp:positionV relativeFrom="paragraph">
                  <wp:posOffset>108452</wp:posOffset>
                </wp:positionV>
                <wp:extent cx="1222744" cy="318770"/>
                <wp:effectExtent l="0" t="0" r="158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744" cy="318770"/>
                        </a:xfrm>
                        <a:prstGeom prst="rect">
                          <a:avLst/>
                        </a:prstGeom>
                        <a:solidFill>
                          <a:schemeClr val="accent5">
                            <a:lumMod val="60000"/>
                            <a:lumOff val="40000"/>
                          </a:schemeClr>
                        </a:solidFill>
                        <a:ln w="9525">
                          <a:solidFill>
                            <a:srgbClr val="000000"/>
                          </a:solidFill>
                          <a:miter lim="800000"/>
                          <a:headEnd/>
                          <a:tailEnd/>
                        </a:ln>
                      </wps:spPr>
                      <wps:txbx>
                        <w:txbxContent>
                          <w:p w:rsidR="00DB0EE6" w:rsidRPr="00DB0EE6" w:rsidRDefault="00DB0EE6">
                            <w:pPr>
                              <w:rPr>
                                <w:lang w:val="en-US"/>
                              </w:rPr>
                            </w:pPr>
                            <w:r w:rsidRPr="00DB0EE6">
                              <w:rPr>
                                <w:b/>
                                <w:lang w:val="en-US"/>
                              </w:rPr>
                              <w:t>Russian</w:t>
                            </w:r>
                            <w:r>
                              <w:rPr>
                                <w:lang w:val="en-US"/>
                              </w:rPr>
                              <w:t xml:space="preserve"> Crude Oil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8.55pt;width:96.3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" fillcolor="#92cddc [1944]">
                <v:textbox>
                  <w:txbxContent>
                    <w:p w:rsidR="00DB0EE6" w:rsidRPr="00DB0EE6" w:rsidRDefault="00DB0EE6">
                      <w:pPr>
                        <w:rPr>
                          <w:lang w:val="en-US"/>
                        </w:rPr>
                      </w:pPr>
                      <w:r w:rsidRPr="00DB0EE6">
                        <w:rPr>
                          <w:b/>
                          <w:lang w:val="en-US"/>
                        </w:rPr>
                        <w:t>Russian</w:t>
                      </w:r>
                      <w:r>
                        <w:rPr>
                          <w:lang w:val="en-US"/>
                        </w:rPr>
                        <w:t xml:space="preserve"> Crude Oil</w:t>
                      </w:r>
                    </w:p>
                  </w:txbxContent>
                </v:textbox>
              </v:shape>
            </w:pict>
          </mc:Fallback>
        </mc:AlternateContent>
      </w:r>
    </w:p>
    <w:p w:rsidR="00127F73" w:rsidRDefault="00127F73" w:rsidP="00E7113C"/>
    <w:p w:rsidR="002705C4" w:rsidRPr="005A7344" w:rsidRDefault="000953D2">
      <w:pPr>
        <w:rPr>
          <w:sz w:val="24"/>
          <w:szCs w:val="24"/>
        </w:rPr>
      </w:pPr>
      <w:r w:rsidRPr="005A7344">
        <w:rPr>
          <w:rStyle w:val="Strong"/>
          <w:sz w:val="24"/>
          <w:szCs w:val="24"/>
        </w:rPr>
        <w:t>Insight</w:t>
      </w:r>
      <w:proofErr w:type="gramStart"/>
      <w:r w:rsidRPr="005A7344">
        <w:rPr>
          <w:rStyle w:val="Strong"/>
          <w:sz w:val="24"/>
          <w:szCs w:val="24"/>
        </w:rPr>
        <w:t>:</w:t>
      </w:r>
      <w:proofErr w:type="gramEnd"/>
      <w:r w:rsidRPr="005A7344">
        <w:rPr>
          <w:sz w:val="24"/>
          <w:szCs w:val="24"/>
        </w:rPr>
        <w:br/>
        <w:t xml:space="preserve">In August 2025, Ukraine sourced </w:t>
      </w:r>
      <w:r w:rsidRPr="005A7344">
        <w:rPr>
          <w:rStyle w:val="Strong"/>
          <w:sz w:val="24"/>
          <w:szCs w:val="24"/>
        </w:rPr>
        <w:t>18.5% of its diesel imports from India</w:t>
      </w:r>
      <w:r w:rsidRPr="005A7344">
        <w:rPr>
          <w:sz w:val="24"/>
          <w:szCs w:val="24"/>
        </w:rPr>
        <w:t xml:space="preserve">, making India the single largest supplier. Notably, much of this diesel was refined from </w:t>
      </w:r>
      <w:r w:rsidRPr="005A7344">
        <w:rPr>
          <w:rStyle w:val="Strong"/>
          <w:sz w:val="24"/>
          <w:szCs w:val="24"/>
        </w:rPr>
        <w:t>Russian crude oil</w:t>
      </w:r>
      <w:r w:rsidRPr="005A7344">
        <w:rPr>
          <w:sz w:val="24"/>
          <w:szCs w:val="24"/>
        </w:rPr>
        <w:t xml:space="preserve">, highlighting how Russian energy continues to reach Ukraine indirectly through third countries despite sanctions and trade restrictions. This underscores that </w:t>
      </w:r>
      <w:r w:rsidRPr="005A7344">
        <w:rPr>
          <w:rStyle w:val="Strong"/>
          <w:sz w:val="24"/>
          <w:szCs w:val="24"/>
        </w:rPr>
        <w:t>energy markets are primarily driven by profits rather than morality</w:t>
      </w:r>
      <w:r w:rsidRPr="005A7344">
        <w:rPr>
          <w:sz w:val="24"/>
          <w:szCs w:val="24"/>
        </w:rPr>
        <w:t>, as companies and countries prioritize economic gains over geopolitical or ethical considerations.</w:t>
      </w:r>
      <w:r w:rsidR="002705C4" w:rsidRPr="005A7344">
        <w:rPr>
          <w:sz w:val="24"/>
          <w:szCs w:val="24"/>
        </w:rPr>
        <w:br w:type="page"/>
      </w:r>
    </w:p>
    <w:p w:rsidR="009764B2" w:rsidRDefault="009764B2" w:rsidP="00E7113C">
      <w:pPr>
        <w:rPr>
          <w:b/>
          <w:noProof/>
          <w:sz w:val="48"/>
          <w:lang w:eastAsia="en-IN"/>
        </w:rPr>
      </w:pPr>
      <w:r>
        <w:rPr>
          <w:b/>
          <w:noProof/>
          <w:sz w:val="48"/>
          <w:lang w:eastAsia="en-IN"/>
        </w:rPr>
        <w:lastRenderedPageBreak/>
        <w:t>USA Imports From Russia(2022-2025)</w:t>
      </w:r>
    </w:p>
    <w:p w:rsidR="009764B2" w:rsidRPr="009764B2" w:rsidRDefault="009764B2" w:rsidP="00E7113C">
      <w:pPr>
        <w:rPr>
          <w:b/>
          <w:noProof/>
          <w:sz w:val="48"/>
          <w:lang w:eastAsia="en-IN"/>
        </w:rPr>
      </w:pPr>
    </w:p>
    <w:p w:rsidR="009764B2" w:rsidRPr="009764B2" w:rsidRDefault="003138E5" w:rsidP="002705C4">
      <w:pPr>
        <w:rPr>
          <w:b/>
          <w:noProof/>
          <w:sz w:val="52"/>
          <w:lang w:eastAsia="en-IN"/>
        </w:rPr>
      </w:pPr>
      <w:r>
        <w:rPr>
          <w:b/>
          <w:noProof/>
          <w:sz w:val="52"/>
          <w:lang w:eastAsia="en-IN"/>
        </w:rPr>
        <w:pict>
          <v:shape id="_x0000_i1041" type="#_x0000_t75" style="width:433.65pt;height:244.45pt">
            <v:imagedata r:id="rId24" o:title="US-russia imports"/>
          </v:shape>
        </w:pict>
      </w:r>
    </w:p>
    <w:p w:rsidR="002705C4" w:rsidRDefault="0023341E" w:rsidP="002705C4">
      <w:r>
        <w:t>Figure 16</w:t>
      </w:r>
      <w:r w:rsidR="002705C4">
        <w:t xml:space="preserve">— USA Imports </w:t>
      </w:r>
      <w:proofErr w:type="gramStart"/>
      <w:r w:rsidR="002705C4">
        <w:t>From</w:t>
      </w:r>
      <w:proofErr w:type="gramEnd"/>
      <w:r w:rsidR="002705C4">
        <w:t xml:space="preserve"> Russia (2022 -2025(Jan –July)</w:t>
      </w:r>
    </w:p>
    <w:p w:rsidR="009764B2" w:rsidRDefault="009764B2" w:rsidP="00E7113C">
      <w:pPr>
        <w:rPr>
          <w:rStyle w:val="Strong"/>
          <w:sz w:val="28"/>
        </w:rPr>
      </w:pPr>
    </w:p>
    <w:p w:rsidR="009764B2" w:rsidRDefault="000953D2" w:rsidP="00E7113C">
      <w:pPr>
        <w:rPr>
          <w:rStyle w:val="Strong"/>
          <w:sz w:val="28"/>
        </w:rPr>
      </w:pPr>
      <w:r w:rsidRPr="009764B2">
        <w:rPr>
          <w:rStyle w:val="Strong"/>
          <w:sz w:val="28"/>
        </w:rPr>
        <w:t>Insight</w:t>
      </w:r>
      <w:r w:rsidR="009764B2">
        <w:rPr>
          <w:rStyle w:val="Strong"/>
          <w:sz w:val="28"/>
        </w:rPr>
        <w:t>s</w:t>
      </w:r>
      <w:r w:rsidRPr="009764B2">
        <w:rPr>
          <w:rStyle w:val="Strong"/>
          <w:sz w:val="28"/>
        </w:rPr>
        <w:t>:</w:t>
      </w:r>
    </w:p>
    <w:p w:rsidR="002705C4" w:rsidRDefault="000953D2" w:rsidP="00E7113C">
      <w:pPr>
        <w:rPr>
          <w:sz w:val="28"/>
        </w:rPr>
      </w:pPr>
      <w:r w:rsidRPr="009764B2">
        <w:rPr>
          <w:sz w:val="28"/>
        </w:rPr>
        <w:br/>
        <w:t xml:space="preserve">The chart shows that </w:t>
      </w:r>
      <w:r w:rsidRPr="009764B2">
        <w:rPr>
          <w:rStyle w:val="Strong"/>
          <w:sz w:val="28"/>
        </w:rPr>
        <w:t>U.S. imports from Russia have steadily declined from 2022 to 2025</w:t>
      </w:r>
      <w:r w:rsidRPr="009764B2">
        <w:rPr>
          <w:sz w:val="28"/>
        </w:rPr>
        <w:t xml:space="preserve">, but the reduction is not complete. The U.S. continues to import </w:t>
      </w:r>
      <w:r w:rsidRPr="009764B2">
        <w:rPr>
          <w:rStyle w:val="Strong"/>
          <w:sz w:val="28"/>
        </w:rPr>
        <w:t>critical resources</w:t>
      </w:r>
      <w:r w:rsidRPr="009764B2">
        <w:rPr>
          <w:sz w:val="28"/>
        </w:rPr>
        <w:t xml:space="preserve"> such </w:t>
      </w:r>
      <w:r w:rsidRPr="009764B2">
        <w:rPr>
          <w:b/>
          <w:sz w:val="28"/>
        </w:rPr>
        <w:t>as fertilizers, uranium, and other nuclear materials</w:t>
      </w:r>
      <w:r w:rsidRPr="009764B2">
        <w:rPr>
          <w:sz w:val="28"/>
        </w:rPr>
        <w:t>, highlighting the limits of sanctions when essential commodities remain in demand.</w:t>
      </w:r>
    </w:p>
    <w:p w:rsidR="000B65D8" w:rsidRDefault="000B65D8" w:rsidP="00E7113C">
      <w:pPr>
        <w:rPr>
          <w:sz w:val="28"/>
        </w:rPr>
      </w:pPr>
    </w:p>
    <w:p w:rsidR="000B65D8" w:rsidRDefault="000B65D8" w:rsidP="00E7113C">
      <w:pPr>
        <w:rPr>
          <w:sz w:val="28"/>
        </w:rPr>
      </w:pPr>
    </w:p>
    <w:p w:rsidR="000B65D8" w:rsidRDefault="000B65D8" w:rsidP="00E7113C">
      <w:pPr>
        <w:rPr>
          <w:sz w:val="28"/>
        </w:rPr>
      </w:pPr>
    </w:p>
    <w:p w:rsidR="000B65D8" w:rsidRDefault="000B65D8" w:rsidP="00E7113C">
      <w:pPr>
        <w:rPr>
          <w:sz w:val="28"/>
        </w:rPr>
      </w:pPr>
    </w:p>
    <w:p w:rsidR="000B65D8" w:rsidRDefault="000B65D8" w:rsidP="000B65D8">
      <w:pPr>
        <w:pStyle w:val="Heading2"/>
        <w:rPr>
          <w:rStyle w:val="Strong"/>
          <w:b/>
          <w:bCs/>
          <w:color w:val="000000" w:themeColor="text1"/>
          <w:sz w:val="40"/>
        </w:rPr>
      </w:pPr>
      <w:proofErr w:type="gramStart"/>
      <w:r w:rsidRPr="000B65D8">
        <w:rPr>
          <w:rStyle w:val="Strong"/>
          <w:b/>
          <w:bCs/>
          <w:color w:val="000000" w:themeColor="text1"/>
          <w:sz w:val="40"/>
        </w:rPr>
        <w:lastRenderedPageBreak/>
        <w:t xml:space="preserve">Final  </w:t>
      </w:r>
      <w:r w:rsidRPr="000B65D8">
        <w:rPr>
          <w:rStyle w:val="Strong"/>
          <w:b/>
          <w:bCs/>
          <w:color w:val="000000" w:themeColor="text1"/>
          <w:sz w:val="40"/>
        </w:rPr>
        <w:t>Conclusion</w:t>
      </w:r>
      <w:proofErr w:type="gramEnd"/>
      <w:r w:rsidRPr="000B65D8">
        <w:rPr>
          <w:rStyle w:val="Strong"/>
          <w:b/>
          <w:bCs/>
          <w:color w:val="000000" w:themeColor="text1"/>
          <w:sz w:val="40"/>
        </w:rPr>
        <w:t xml:space="preserve"> &amp; Insights</w:t>
      </w:r>
    </w:p>
    <w:p w:rsidR="000B65D8" w:rsidRPr="000B65D8" w:rsidRDefault="000B65D8" w:rsidP="000B65D8"/>
    <w:p w:rsidR="000B65D8" w:rsidRPr="000B65D8" w:rsidRDefault="00831B3B" w:rsidP="000B65D8">
      <w:pPr>
        <w:pStyle w:val="NormalWeb"/>
        <w:numPr>
          <w:ilvl w:val="0"/>
          <w:numId w:val="43"/>
        </w:numPr>
        <w:rPr>
          <w:sz w:val="28"/>
        </w:rPr>
      </w:pPr>
      <w:r>
        <w:rPr>
          <w:sz w:val="28"/>
        </w:rPr>
        <w:t>From 2022</w:t>
      </w:r>
      <w:r w:rsidR="000B65D8" w:rsidRPr="000B65D8">
        <w:rPr>
          <w:sz w:val="28"/>
        </w:rPr>
        <w:t>–2025</w:t>
      </w:r>
      <w:r w:rsidR="000B65D8" w:rsidRPr="00243114">
        <w:rPr>
          <w:b/>
          <w:sz w:val="28"/>
        </w:rPr>
        <w:t xml:space="preserve">, </w:t>
      </w:r>
      <w:r>
        <w:rPr>
          <w:b/>
          <w:sz w:val="28"/>
        </w:rPr>
        <w:t>Russian</w:t>
      </w:r>
      <w:r w:rsidR="000B65D8" w:rsidRPr="00243114">
        <w:rPr>
          <w:b/>
          <w:sz w:val="28"/>
        </w:rPr>
        <w:t xml:space="preserve"> oil trade shifted significantly toward Asia</w:t>
      </w:r>
      <w:r w:rsidR="000B65D8" w:rsidRPr="000B65D8">
        <w:rPr>
          <w:sz w:val="28"/>
        </w:rPr>
        <w:t>, with India and China buying discounted Russian crude, helping stabilize global oil prices around $70 per barrel.</w:t>
      </w:r>
    </w:p>
    <w:p w:rsidR="000B65D8" w:rsidRPr="000B65D8" w:rsidRDefault="000B65D8" w:rsidP="000B65D8">
      <w:pPr>
        <w:pStyle w:val="NormalWeb"/>
        <w:numPr>
          <w:ilvl w:val="0"/>
          <w:numId w:val="43"/>
        </w:numPr>
        <w:rPr>
          <w:sz w:val="28"/>
        </w:rPr>
      </w:pPr>
      <w:r w:rsidRPr="000B65D8">
        <w:rPr>
          <w:sz w:val="28"/>
        </w:rPr>
        <w:t>Europe’s energy demand is increasingly met by U.S. exports.</w:t>
      </w:r>
    </w:p>
    <w:p w:rsidR="000B65D8" w:rsidRPr="000B65D8" w:rsidRDefault="000B65D8" w:rsidP="000B65D8">
      <w:pPr>
        <w:pStyle w:val="NormalWeb"/>
        <w:numPr>
          <w:ilvl w:val="0"/>
          <w:numId w:val="43"/>
        </w:numPr>
        <w:rPr>
          <w:sz w:val="28"/>
        </w:rPr>
      </w:pPr>
      <w:r w:rsidRPr="000B65D8">
        <w:rPr>
          <w:sz w:val="28"/>
        </w:rPr>
        <w:t xml:space="preserve">The U.S., through sanctions on Russia, exerts geopolitical pressure </w:t>
      </w:r>
      <w:r w:rsidRPr="000B65D8">
        <w:rPr>
          <w:rStyle w:val="Strong"/>
          <w:rFonts w:eastAsiaTheme="majorEastAsia"/>
          <w:sz w:val="28"/>
        </w:rPr>
        <w:t>while indirectly profiting</w:t>
      </w:r>
      <w:r w:rsidRPr="000B65D8">
        <w:rPr>
          <w:sz w:val="28"/>
        </w:rPr>
        <w:t xml:space="preserve"> by supplying energy like oil, LNG, and gas to Europe.</w:t>
      </w:r>
    </w:p>
    <w:p w:rsidR="000B65D8" w:rsidRPr="000B65D8" w:rsidRDefault="000B65D8" w:rsidP="000B65D8">
      <w:pPr>
        <w:pStyle w:val="NormalWeb"/>
        <w:numPr>
          <w:ilvl w:val="0"/>
          <w:numId w:val="43"/>
        </w:numPr>
        <w:rPr>
          <w:sz w:val="28"/>
        </w:rPr>
      </w:pPr>
      <w:r w:rsidRPr="000B65D8">
        <w:rPr>
          <w:sz w:val="28"/>
        </w:rPr>
        <w:t xml:space="preserve">The </w:t>
      </w:r>
      <w:r w:rsidRPr="00243114">
        <w:rPr>
          <w:b/>
          <w:sz w:val="28"/>
        </w:rPr>
        <w:t>U.S. continues to trade with Russia</w:t>
      </w:r>
      <w:r w:rsidRPr="000B65D8">
        <w:rPr>
          <w:sz w:val="28"/>
        </w:rPr>
        <w:t xml:space="preserve"> for essential supplies despite sanctions.</w:t>
      </w:r>
    </w:p>
    <w:p w:rsidR="000B65D8" w:rsidRDefault="000B65D8" w:rsidP="000B65D8">
      <w:pPr>
        <w:pStyle w:val="NormalWeb"/>
        <w:numPr>
          <w:ilvl w:val="0"/>
          <w:numId w:val="43"/>
        </w:numPr>
        <w:rPr>
          <w:sz w:val="28"/>
        </w:rPr>
      </w:pPr>
      <w:r w:rsidRPr="00243114">
        <w:rPr>
          <w:b/>
          <w:sz w:val="28"/>
        </w:rPr>
        <w:t>Ukraine importing Indian diesel</w:t>
      </w:r>
      <w:r w:rsidRPr="000B65D8">
        <w:rPr>
          <w:sz w:val="28"/>
        </w:rPr>
        <w:t xml:space="preserve"> refined from Russian crude highlights how market pragmatism often outweighs geopolitical or moral considerations.</w:t>
      </w:r>
    </w:p>
    <w:p w:rsidR="00B14272" w:rsidRDefault="00B14272" w:rsidP="000B65D8">
      <w:pPr>
        <w:pStyle w:val="NormalWeb"/>
        <w:numPr>
          <w:ilvl w:val="0"/>
          <w:numId w:val="43"/>
        </w:numPr>
        <w:rPr>
          <w:sz w:val="28"/>
        </w:rPr>
      </w:pPr>
      <w:r w:rsidRPr="00907780">
        <w:rPr>
          <w:sz w:val="28"/>
        </w:rPr>
        <w:t xml:space="preserve">The study highlights that fully blocking a nation’s trade is impractical; even the </w:t>
      </w:r>
      <w:r w:rsidRPr="00907780">
        <w:rPr>
          <w:b/>
          <w:sz w:val="28"/>
        </w:rPr>
        <w:t>EU</w:t>
      </w:r>
      <w:r w:rsidRPr="00907780">
        <w:rPr>
          <w:sz w:val="28"/>
        </w:rPr>
        <w:t xml:space="preserve"> and </w:t>
      </w:r>
      <w:r w:rsidRPr="00907780">
        <w:rPr>
          <w:b/>
          <w:sz w:val="28"/>
        </w:rPr>
        <w:t>U.S</w:t>
      </w:r>
      <w:r w:rsidRPr="00907780">
        <w:rPr>
          <w:sz w:val="28"/>
        </w:rPr>
        <w:t xml:space="preserve">., </w:t>
      </w:r>
      <w:r w:rsidRPr="00907780">
        <w:rPr>
          <w:b/>
          <w:sz w:val="28"/>
        </w:rPr>
        <w:t>Russia’s</w:t>
      </w:r>
      <w:r w:rsidRPr="00907780">
        <w:rPr>
          <w:sz w:val="28"/>
        </w:rPr>
        <w:t xml:space="preserve"> adversaries, continue to rely on imports from it for essential commodities</w:t>
      </w:r>
      <w:r>
        <w:t>.</w:t>
      </w:r>
    </w:p>
    <w:p w:rsidR="00831B3B" w:rsidRDefault="00831B3B" w:rsidP="00831B3B">
      <w:pPr>
        <w:pStyle w:val="NormalWeb"/>
        <w:rPr>
          <w:sz w:val="28"/>
        </w:rPr>
      </w:pPr>
      <w:bookmarkStart w:id="0" w:name="_GoBack"/>
      <w:bookmarkEnd w:id="0"/>
    </w:p>
    <w:p w:rsidR="00831B3B" w:rsidRDefault="00831B3B" w:rsidP="00831B3B">
      <w:pPr>
        <w:pStyle w:val="Heading2"/>
      </w:pPr>
      <w:r w:rsidRPr="00A82FE6">
        <w:rPr>
          <w:rStyle w:val="Strong"/>
          <w:b/>
          <w:bCs/>
          <w:color w:val="000000" w:themeColor="text1"/>
          <w:sz w:val="28"/>
        </w:rPr>
        <w:t>Future Trends (2025–2035)</w:t>
      </w:r>
    </w:p>
    <w:p w:rsidR="00831B3B" w:rsidRDefault="00831B3B" w:rsidP="00831B3B">
      <w:pPr>
        <w:pStyle w:val="NormalWeb"/>
        <w:numPr>
          <w:ilvl w:val="0"/>
          <w:numId w:val="44"/>
        </w:numPr>
      </w:pPr>
      <w:r>
        <w:rPr>
          <w:rStyle w:val="Strong"/>
          <w:rFonts w:eastAsiaTheme="majorEastAsia"/>
        </w:rPr>
        <w:t>Europe’s Energy Dependence:</w:t>
      </w:r>
      <w:r>
        <w:t xml:space="preserve"> Europe’s reliance on U.S. and Middle Eastern energy supplies is expected to continue over the next 10 years, driven by diversification strategies and post-sanction adjustments.</w:t>
      </w:r>
    </w:p>
    <w:p w:rsidR="00831B3B" w:rsidRDefault="00831B3B" w:rsidP="00831B3B">
      <w:pPr>
        <w:pStyle w:val="NormalWeb"/>
        <w:numPr>
          <w:ilvl w:val="0"/>
          <w:numId w:val="44"/>
        </w:numPr>
      </w:pPr>
      <w:r>
        <w:rPr>
          <w:rStyle w:val="Strong"/>
          <w:rFonts w:eastAsiaTheme="majorEastAsia"/>
        </w:rPr>
        <w:t>India &amp; China Imports from Russia:</w:t>
      </w:r>
      <w:r>
        <w:t xml:space="preserve"> Purchases of Russian oil by India and China are likely to remain steady rather than increase significantly, as both countries continue to maintain diversified supplier portfolios.</w:t>
      </w:r>
    </w:p>
    <w:p w:rsidR="00831B3B" w:rsidRDefault="00831B3B" w:rsidP="00831B3B">
      <w:pPr>
        <w:pStyle w:val="NormalWeb"/>
        <w:numPr>
          <w:ilvl w:val="0"/>
          <w:numId w:val="44"/>
        </w:numPr>
      </w:pPr>
      <w:r>
        <w:rPr>
          <w:rStyle w:val="Strong"/>
          <w:rFonts w:eastAsiaTheme="majorEastAsia"/>
        </w:rPr>
        <w:t>Russia as a Key Supplier:</w:t>
      </w:r>
      <w:r>
        <w:t xml:space="preserve"> Russia will continue to be a major energy supplier to Asia, especially if it offers discounted oil, with other Asian countries potentially increasing purchases influenced by India and China’s precedent.</w:t>
      </w:r>
    </w:p>
    <w:p w:rsidR="00831B3B" w:rsidRDefault="00831B3B" w:rsidP="00831B3B">
      <w:pPr>
        <w:pStyle w:val="NormalWeb"/>
        <w:numPr>
          <w:ilvl w:val="0"/>
          <w:numId w:val="44"/>
        </w:numPr>
      </w:pPr>
      <w:r>
        <w:rPr>
          <w:rStyle w:val="Strong"/>
          <w:rFonts w:eastAsiaTheme="majorEastAsia"/>
        </w:rPr>
        <w:t>Impact of Geopolitics:</w:t>
      </w:r>
      <w:r>
        <w:t xml:space="preserve"> If the Russia–Ukraine conflict ends, trade and supply patterns may normalize; however, geopolitical tensions and strategic energy decisions will continue to influence global oil flows.</w:t>
      </w:r>
    </w:p>
    <w:p w:rsidR="00831B3B" w:rsidRDefault="00831B3B" w:rsidP="00831B3B">
      <w:pPr>
        <w:pStyle w:val="NormalWeb"/>
        <w:numPr>
          <w:ilvl w:val="0"/>
          <w:numId w:val="44"/>
        </w:numPr>
      </w:pPr>
      <w:r>
        <w:rPr>
          <w:rStyle w:val="Strong"/>
          <w:rFonts w:eastAsiaTheme="majorEastAsia"/>
        </w:rPr>
        <w:t>Market Stability Outlook:</w:t>
      </w:r>
      <w:r>
        <w:t xml:space="preserve"> Despite potential normalization, shifts in oil and energy markets caused by geopolitical and economic factors are expected to persist for the next 5–10 years, maintaining volatility and strategic re-alignments.</w:t>
      </w:r>
    </w:p>
    <w:p w:rsidR="00692A1C" w:rsidRDefault="00692A1C" w:rsidP="00692A1C">
      <w:pPr>
        <w:pStyle w:val="NormalWeb"/>
        <w:rPr>
          <w:b/>
          <w:sz w:val="28"/>
        </w:rPr>
      </w:pPr>
    </w:p>
    <w:p w:rsidR="00692A1C" w:rsidRPr="00692A1C" w:rsidRDefault="00692A1C" w:rsidP="00692A1C">
      <w:pPr>
        <w:pStyle w:val="NormalWeb"/>
        <w:rPr>
          <w:b/>
          <w:sz w:val="28"/>
        </w:rPr>
      </w:pPr>
      <w:r w:rsidRPr="00692A1C">
        <w:rPr>
          <w:b/>
          <w:sz w:val="28"/>
        </w:rPr>
        <w:t xml:space="preserve">Prepared by: </w:t>
      </w:r>
      <w:proofErr w:type="spellStart"/>
      <w:r w:rsidRPr="00692A1C">
        <w:rPr>
          <w:b/>
          <w:sz w:val="28"/>
        </w:rPr>
        <w:t>Mohit</w:t>
      </w:r>
      <w:proofErr w:type="spellEnd"/>
      <w:r w:rsidRPr="00692A1C">
        <w:rPr>
          <w:b/>
          <w:sz w:val="28"/>
        </w:rPr>
        <w:t xml:space="preserve"> </w:t>
      </w:r>
      <w:proofErr w:type="spellStart"/>
      <w:r w:rsidRPr="00692A1C">
        <w:rPr>
          <w:b/>
          <w:sz w:val="28"/>
        </w:rPr>
        <w:t>Chaturvedi</w:t>
      </w:r>
      <w:proofErr w:type="spellEnd"/>
      <w:r w:rsidRPr="00692A1C">
        <w:rPr>
          <w:b/>
          <w:sz w:val="28"/>
        </w:rPr>
        <w:t xml:space="preserve">  </w:t>
      </w:r>
    </w:p>
    <w:p w:rsidR="00831B3B" w:rsidRPr="00831B3B" w:rsidRDefault="00692A1C" w:rsidP="00692A1C">
      <w:pPr>
        <w:pStyle w:val="NormalWeb"/>
        <w:rPr>
          <w:b/>
          <w:sz w:val="28"/>
        </w:rPr>
      </w:pPr>
      <w:r w:rsidRPr="00692A1C">
        <w:rPr>
          <w:b/>
          <w:sz w:val="28"/>
        </w:rPr>
        <w:t>This report is based on publicly available data and analysis conducted by the author.</w:t>
      </w:r>
    </w:p>
    <w:p w:rsidR="000B65D8" w:rsidRPr="009764B2" w:rsidRDefault="000B65D8" w:rsidP="00E7113C">
      <w:pPr>
        <w:rPr>
          <w:b/>
          <w:noProof/>
          <w:sz w:val="72"/>
          <w:lang w:eastAsia="en-IN"/>
        </w:rPr>
      </w:pPr>
    </w:p>
    <w:p w:rsidR="002705C4" w:rsidRPr="00E7113C" w:rsidRDefault="002705C4" w:rsidP="00E7113C">
      <w:pPr>
        <w:rPr>
          <w:b/>
          <w:noProof/>
          <w:sz w:val="52"/>
          <w:lang w:eastAsia="en-IN"/>
        </w:rPr>
      </w:pPr>
    </w:p>
    <w:sectPr w:rsidR="002705C4" w:rsidRPr="00E7113C" w:rsidSect="005571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D0E34"/>
    <w:multiLevelType w:val="multilevel"/>
    <w:tmpl w:val="15E8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D32A87"/>
    <w:multiLevelType w:val="multilevel"/>
    <w:tmpl w:val="77D4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A27E8"/>
    <w:multiLevelType w:val="multilevel"/>
    <w:tmpl w:val="50D0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EF7FDA"/>
    <w:multiLevelType w:val="multilevel"/>
    <w:tmpl w:val="55866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DE5A12"/>
    <w:multiLevelType w:val="multilevel"/>
    <w:tmpl w:val="47527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800779"/>
    <w:multiLevelType w:val="multilevel"/>
    <w:tmpl w:val="D2208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413CCB"/>
    <w:multiLevelType w:val="multilevel"/>
    <w:tmpl w:val="D216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716FA4"/>
    <w:multiLevelType w:val="multilevel"/>
    <w:tmpl w:val="5EF6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F64F33"/>
    <w:multiLevelType w:val="hybridMultilevel"/>
    <w:tmpl w:val="C226A3F0"/>
    <w:lvl w:ilvl="0" w:tplc="E9D068E0">
      <w:start w:val="1"/>
      <w:numFmt w:val="decimal"/>
      <w:lvlText w:val="%1."/>
      <w:lvlJc w:val="left"/>
      <w:pPr>
        <w:ind w:left="1080" w:hanging="720"/>
      </w:pPr>
      <w:rPr>
        <w:rFonts w:hint="default"/>
        <w:b w:val="0"/>
        <w:sz w:val="36"/>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D18575F"/>
    <w:multiLevelType w:val="multilevel"/>
    <w:tmpl w:val="2C4A9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FF0E41"/>
    <w:multiLevelType w:val="multilevel"/>
    <w:tmpl w:val="19CE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066E2F"/>
    <w:multiLevelType w:val="multilevel"/>
    <w:tmpl w:val="B4CE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7F2012"/>
    <w:multiLevelType w:val="multilevel"/>
    <w:tmpl w:val="352C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476B9B"/>
    <w:multiLevelType w:val="multilevel"/>
    <w:tmpl w:val="E552F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2F28F5"/>
    <w:multiLevelType w:val="multilevel"/>
    <w:tmpl w:val="F76C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080B8E"/>
    <w:multiLevelType w:val="multilevel"/>
    <w:tmpl w:val="F0EC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DF10A7"/>
    <w:multiLevelType w:val="multilevel"/>
    <w:tmpl w:val="05D888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E8A270B"/>
    <w:multiLevelType w:val="multilevel"/>
    <w:tmpl w:val="2BF6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135107"/>
    <w:multiLevelType w:val="multilevel"/>
    <w:tmpl w:val="977C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6D4DCE"/>
    <w:multiLevelType w:val="multilevel"/>
    <w:tmpl w:val="4392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21E2F"/>
    <w:multiLevelType w:val="multilevel"/>
    <w:tmpl w:val="3A0AE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F851E7D"/>
    <w:multiLevelType w:val="multilevel"/>
    <w:tmpl w:val="A606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E6693C"/>
    <w:multiLevelType w:val="multilevel"/>
    <w:tmpl w:val="FEC2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FC07AB"/>
    <w:multiLevelType w:val="multilevel"/>
    <w:tmpl w:val="9ACAA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57B3924"/>
    <w:multiLevelType w:val="multilevel"/>
    <w:tmpl w:val="B31C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BF65A3"/>
    <w:multiLevelType w:val="multilevel"/>
    <w:tmpl w:val="B802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7A60E3"/>
    <w:multiLevelType w:val="multilevel"/>
    <w:tmpl w:val="5F5819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BB81965"/>
    <w:multiLevelType w:val="multilevel"/>
    <w:tmpl w:val="D00A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DC05F3"/>
    <w:multiLevelType w:val="hybridMultilevel"/>
    <w:tmpl w:val="89AAA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6954BB9"/>
    <w:multiLevelType w:val="multilevel"/>
    <w:tmpl w:val="7422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9835CB"/>
    <w:multiLevelType w:val="multilevel"/>
    <w:tmpl w:val="D194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1AD0850"/>
    <w:multiLevelType w:val="multilevel"/>
    <w:tmpl w:val="36EC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BA215B"/>
    <w:multiLevelType w:val="multilevel"/>
    <w:tmpl w:val="CD60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E45382"/>
    <w:multiLevelType w:val="multilevel"/>
    <w:tmpl w:val="F86C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923D6D"/>
    <w:multiLevelType w:val="multilevel"/>
    <w:tmpl w:val="A24E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9415C8"/>
    <w:multiLevelType w:val="multilevel"/>
    <w:tmpl w:val="7FB6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19173A"/>
    <w:multiLevelType w:val="multilevel"/>
    <w:tmpl w:val="74A6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06018A"/>
    <w:multiLevelType w:val="multilevel"/>
    <w:tmpl w:val="803E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1429C8"/>
    <w:multiLevelType w:val="multilevel"/>
    <w:tmpl w:val="4C28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F82214B"/>
    <w:multiLevelType w:val="multilevel"/>
    <w:tmpl w:val="EEDE5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520E7C"/>
    <w:multiLevelType w:val="hybridMultilevel"/>
    <w:tmpl w:val="265848A0"/>
    <w:lvl w:ilvl="0" w:tplc="8FAC4570">
      <w:start w:val="1"/>
      <w:numFmt w:val="decimal"/>
      <w:lvlText w:val="%1."/>
      <w:lvlJc w:val="left"/>
      <w:pPr>
        <w:ind w:left="1080" w:hanging="720"/>
      </w:pPr>
      <w:rPr>
        <w:rFonts w:hint="default"/>
        <w:b w:val="0"/>
        <w:sz w:val="36"/>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4786381"/>
    <w:multiLevelType w:val="multilevel"/>
    <w:tmpl w:val="3D9E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79E2ED4"/>
    <w:multiLevelType w:val="multilevel"/>
    <w:tmpl w:val="7086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96200BF"/>
    <w:multiLevelType w:val="multilevel"/>
    <w:tmpl w:val="94805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8"/>
  </w:num>
  <w:num w:numId="3">
    <w:abstractNumId w:val="40"/>
  </w:num>
  <w:num w:numId="4">
    <w:abstractNumId w:val="8"/>
  </w:num>
  <w:num w:numId="5">
    <w:abstractNumId w:val="19"/>
  </w:num>
  <w:num w:numId="6">
    <w:abstractNumId w:val="9"/>
  </w:num>
  <w:num w:numId="7">
    <w:abstractNumId w:val="2"/>
  </w:num>
  <w:num w:numId="8">
    <w:abstractNumId w:val="35"/>
  </w:num>
  <w:num w:numId="9">
    <w:abstractNumId w:val="6"/>
  </w:num>
  <w:num w:numId="10">
    <w:abstractNumId w:val="15"/>
  </w:num>
  <w:num w:numId="11">
    <w:abstractNumId w:val="23"/>
  </w:num>
  <w:num w:numId="12">
    <w:abstractNumId w:val="16"/>
  </w:num>
  <w:num w:numId="13">
    <w:abstractNumId w:val="0"/>
  </w:num>
  <w:num w:numId="14">
    <w:abstractNumId w:val="26"/>
  </w:num>
  <w:num w:numId="15">
    <w:abstractNumId w:val="25"/>
  </w:num>
  <w:num w:numId="16">
    <w:abstractNumId w:val="39"/>
  </w:num>
  <w:num w:numId="17">
    <w:abstractNumId w:val="1"/>
  </w:num>
  <w:num w:numId="18">
    <w:abstractNumId w:val="20"/>
  </w:num>
  <w:num w:numId="19">
    <w:abstractNumId w:val="12"/>
  </w:num>
  <w:num w:numId="20">
    <w:abstractNumId w:val="33"/>
  </w:num>
  <w:num w:numId="21">
    <w:abstractNumId w:val="17"/>
  </w:num>
  <w:num w:numId="22">
    <w:abstractNumId w:val="36"/>
  </w:num>
  <w:num w:numId="23">
    <w:abstractNumId w:val="29"/>
  </w:num>
  <w:num w:numId="24">
    <w:abstractNumId w:val="24"/>
  </w:num>
  <w:num w:numId="25">
    <w:abstractNumId w:val="3"/>
  </w:num>
  <w:num w:numId="26">
    <w:abstractNumId w:val="31"/>
  </w:num>
  <w:num w:numId="27">
    <w:abstractNumId w:val="27"/>
  </w:num>
  <w:num w:numId="28">
    <w:abstractNumId w:val="38"/>
  </w:num>
  <w:num w:numId="29">
    <w:abstractNumId w:val="10"/>
  </w:num>
  <w:num w:numId="30">
    <w:abstractNumId w:val="21"/>
  </w:num>
  <w:num w:numId="31">
    <w:abstractNumId w:val="11"/>
  </w:num>
  <w:num w:numId="32">
    <w:abstractNumId w:val="42"/>
  </w:num>
  <w:num w:numId="33">
    <w:abstractNumId w:val="32"/>
  </w:num>
  <w:num w:numId="34">
    <w:abstractNumId w:val="34"/>
  </w:num>
  <w:num w:numId="35">
    <w:abstractNumId w:val="41"/>
  </w:num>
  <w:num w:numId="36">
    <w:abstractNumId w:val="5"/>
  </w:num>
  <w:num w:numId="37">
    <w:abstractNumId w:val="4"/>
  </w:num>
  <w:num w:numId="38">
    <w:abstractNumId w:val="18"/>
  </w:num>
  <w:num w:numId="39">
    <w:abstractNumId w:val="14"/>
  </w:num>
  <w:num w:numId="40">
    <w:abstractNumId w:val="7"/>
  </w:num>
  <w:num w:numId="41">
    <w:abstractNumId w:val="43"/>
  </w:num>
  <w:num w:numId="42">
    <w:abstractNumId w:val="30"/>
  </w:num>
  <w:num w:numId="43">
    <w:abstractNumId w:val="22"/>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15C"/>
    <w:rsid w:val="000876BC"/>
    <w:rsid w:val="000953D2"/>
    <w:rsid w:val="000B65D8"/>
    <w:rsid w:val="000D60A7"/>
    <w:rsid w:val="00127F73"/>
    <w:rsid w:val="00130B10"/>
    <w:rsid w:val="00130DEE"/>
    <w:rsid w:val="00135FE2"/>
    <w:rsid w:val="001A0691"/>
    <w:rsid w:val="001E58AE"/>
    <w:rsid w:val="00214E6E"/>
    <w:rsid w:val="00222299"/>
    <w:rsid w:val="0023341E"/>
    <w:rsid w:val="00243114"/>
    <w:rsid w:val="002705C4"/>
    <w:rsid w:val="002B2C02"/>
    <w:rsid w:val="003138E5"/>
    <w:rsid w:val="00342EFE"/>
    <w:rsid w:val="00347D64"/>
    <w:rsid w:val="003E66B3"/>
    <w:rsid w:val="00404DE5"/>
    <w:rsid w:val="00473E82"/>
    <w:rsid w:val="00480D6C"/>
    <w:rsid w:val="004A7646"/>
    <w:rsid w:val="004B3042"/>
    <w:rsid w:val="004D068E"/>
    <w:rsid w:val="00555D2B"/>
    <w:rsid w:val="00557182"/>
    <w:rsid w:val="0058318C"/>
    <w:rsid w:val="00584889"/>
    <w:rsid w:val="005A7344"/>
    <w:rsid w:val="005B2A33"/>
    <w:rsid w:val="005D5166"/>
    <w:rsid w:val="005D5BCB"/>
    <w:rsid w:val="005D63A1"/>
    <w:rsid w:val="005F25AE"/>
    <w:rsid w:val="005F2E30"/>
    <w:rsid w:val="006201F3"/>
    <w:rsid w:val="0064115C"/>
    <w:rsid w:val="006913D6"/>
    <w:rsid w:val="00692A1C"/>
    <w:rsid w:val="00716141"/>
    <w:rsid w:val="00731598"/>
    <w:rsid w:val="007845A8"/>
    <w:rsid w:val="00797374"/>
    <w:rsid w:val="00831B3B"/>
    <w:rsid w:val="00891C07"/>
    <w:rsid w:val="008B7E23"/>
    <w:rsid w:val="00907780"/>
    <w:rsid w:val="009370E2"/>
    <w:rsid w:val="00952142"/>
    <w:rsid w:val="00957176"/>
    <w:rsid w:val="009764B2"/>
    <w:rsid w:val="009D6694"/>
    <w:rsid w:val="00A54C82"/>
    <w:rsid w:val="00A82FE6"/>
    <w:rsid w:val="00AD29D7"/>
    <w:rsid w:val="00AD7558"/>
    <w:rsid w:val="00B04B01"/>
    <w:rsid w:val="00B14272"/>
    <w:rsid w:val="00B3368B"/>
    <w:rsid w:val="00B6549D"/>
    <w:rsid w:val="00BC20D1"/>
    <w:rsid w:val="00C433CD"/>
    <w:rsid w:val="00C93F41"/>
    <w:rsid w:val="00CC343C"/>
    <w:rsid w:val="00CF1D55"/>
    <w:rsid w:val="00D16D5D"/>
    <w:rsid w:val="00D546C3"/>
    <w:rsid w:val="00DB0EE6"/>
    <w:rsid w:val="00DB60FB"/>
    <w:rsid w:val="00E30151"/>
    <w:rsid w:val="00E472AE"/>
    <w:rsid w:val="00E7113C"/>
    <w:rsid w:val="00EA0201"/>
    <w:rsid w:val="00EF1C10"/>
    <w:rsid w:val="00F75BCB"/>
    <w:rsid w:val="00F96D67"/>
    <w:rsid w:val="00FE1EDD"/>
    <w:rsid w:val="00FF6B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6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6B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46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546C3"/>
    <w:pPr>
      <w:spacing w:after="0" w:line="240" w:lineRule="auto"/>
    </w:pPr>
  </w:style>
  <w:style w:type="character" w:customStyle="1" w:styleId="Heading1Char">
    <w:name w:val="Heading 1 Char"/>
    <w:basedOn w:val="DefaultParagraphFont"/>
    <w:link w:val="Heading1"/>
    <w:uiPriority w:val="9"/>
    <w:rsid w:val="00D546C3"/>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546C3"/>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D546C3"/>
    <w:rPr>
      <w:b/>
      <w:bCs/>
    </w:rPr>
  </w:style>
  <w:style w:type="paragraph" w:styleId="NormalWeb">
    <w:name w:val="Normal (Web)"/>
    <w:basedOn w:val="Normal"/>
    <w:uiPriority w:val="99"/>
    <w:unhideWhenUsed/>
    <w:rsid w:val="00D546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75BCB"/>
    <w:pPr>
      <w:ind w:left="720"/>
      <w:contextualSpacing/>
    </w:pPr>
  </w:style>
  <w:style w:type="character" w:customStyle="1" w:styleId="Heading2Char">
    <w:name w:val="Heading 2 Char"/>
    <w:basedOn w:val="DefaultParagraphFont"/>
    <w:link w:val="Heading2"/>
    <w:uiPriority w:val="9"/>
    <w:rsid w:val="00FF6B0C"/>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FF6B0C"/>
    <w:rPr>
      <w:i/>
      <w:iCs/>
    </w:rPr>
  </w:style>
  <w:style w:type="paragraph" w:styleId="BalloonText">
    <w:name w:val="Balloon Text"/>
    <w:basedOn w:val="Normal"/>
    <w:link w:val="BalloonTextChar"/>
    <w:uiPriority w:val="99"/>
    <w:semiHidden/>
    <w:unhideWhenUsed/>
    <w:rsid w:val="00891C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C0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6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6B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46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546C3"/>
    <w:pPr>
      <w:spacing w:after="0" w:line="240" w:lineRule="auto"/>
    </w:pPr>
  </w:style>
  <w:style w:type="character" w:customStyle="1" w:styleId="Heading1Char">
    <w:name w:val="Heading 1 Char"/>
    <w:basedOn w:val="DefaultParagraphFont"/>
    <w:link w:val="Heading1"/>
    <w:uiPriority w:val="9"/>
    <w:rsid w:val="00D546C3"/>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546C3"/>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D546C3"/>
    <w:rPr>
      <w:b/>
      <w:bCs/>
    </w:rPr>
  </w:style>
  <w:style w:type="paragraph" w:styleId="NormalWeb">
    <w:name w:val="Normal (Web)"/>
    <w:basedOn w:val="Normal"/>
    <w:uiPriority w:val="99"/>
    <w:unhideWhenUsed/>
    <w:rsid w:val="00D546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75BCB"/>
    <w:pPr>
      <w:ind w:left="720"/>
      <w:contextualSpacing/>
    </w:pPr>
  </w:style>
  <w:style w:type="character" w:customStyle="1" w:styleId="Heading2Char">
    <w:name w:val="Heading 2 Char"/>
    <w:basedOn w:val="DefaultParagraphFont"/>
    <w:link w:val="Heading2"/>
    <w:uiPriority w:val="9"/>
    <w:rsid w:val="00FF6B0C"/>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FF6B0C"/>
    <w:rPr>
      <w:i/>
      <w:iCs/>
    </w:rPr>
  </w:style>
  <w:style w:type="paragraph" w:styleId="BalloonText">
    <w:name w:val="Balloon Text"/>
    <w:basedOn w:val="Normal"/>
    <w:link w:val="BalloonTextChar"/>
    <w:uiPriority w:val="99"/>
    <w:semiHidden/>
    <w:unhideWhenUsed/>
    <w:rsid w:val="00891C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C0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12097">
      <w:bodyDiv w:val="1"/>
      <w:marLeft w:val="0"/>
      <w:marRight w:val="0"/>
      <w:marTop w:val="0"/>
      <w:marBottom w:val="0"/>
      <w:divBdr>
        <w:top w:val="none" w:sz="0" w:space="0" w:color="auto"/>
        <w:left w:val="none" w:sz="0" w:space="0" w:color="auto"/>
        <w:bottom w:val="none" w:sz="0" w:space="0" w:color="auto"/>
        <w:right w:val="none" w:sz="0" w:space="0" w:color="auto"/>
      </w:divBdr>
    </w:div>
    <w:div w:id="86848664">
      <w:bodyDiv w:val="1"/>
      <w:marLeft w:val="0"/>
      <w:marRight w:val="0"/>
      <w:marTop w:val="0"/>
      <w:marBottom w:val="0"/>
      <w:divBdr>
        <w:top w:val="none" w:sz="0" w:space="0" w:color="auto"/>
        <w:left w:val="none" w:sz="0" w:space="0" w:color="auto"/>
        <w:bottom w:val="none" w:sz="0" w:space="0" w:color="auto"/>
        <w:right w:val="none" w:sz="0" w:space="0" w:color="auto"/>
      </w:divBdr>
    </w:div>
    <w:div w:id="103883503">
      <w:bodyDiv w:val="1"/>
      <w:marLeft w:val="0"/>
      <w:marRight w:val="0"/>
      <w:marTop w:val="0"/>
      <w:marBottom w:val="0"/>
      <w:divBdr>
        <w:top w:val="none" w:sz="0" w:space="0" w:color="auto"/>
        <w:left w:val="none" w:sz="0" w:space="0" w:color="auto"/>
        <w:bottom w:val="none" w:sz="0" w:space="0" w:color="auto"/>
        <w:right w:val="none" w:sz="0" w:space="0" w:color="auto"/>
      </w:divBdr>
    </w:div>
    <w:div w:id="109204937">
      <w:bodyDiv w:val="1"/>
      <w:marLeft w:val="0"/>
      <w:marRight w:val="0"/>
      <w:marTop w:val="0"/>
      <w:marBottom w:val="0"/>
      <w:divBdr>
        <w:top w:val="none" w:sz="0" w:space="0" w:color="auto"/>
        <w:left w:val="none" w:sz="0" w:space="0" w:color="auto"/>
        <w:bottom w:val="none" w:sz="0" w:space="0" w:color="auto"/>
        <w:right w:val="none" w:sz="0" w:space="0" w:color="auto"/>
      </w:divBdr>
    </w:div>
    <w:div w:id="138351409">
      <w:bodyDiv w:val="1"/>
      <w:marLeft w:val="0"/>
      <w:marRight w:val="0"/>
      <w:marTop w:val="0"/>
      <w:marBottom w:val="0"/>
      <w:divBdr>
        <w:top w:val="none" w:sz="0" w:space="0" w:color="auto"/>
        <w:left w:val="none" w:sz="0" w:space="0" w:color="auto"/>
        <w:bottom w:val="none" w:sz="0" w:space="0" w:color="auto"/>
        <w:right w:val="none" w:sz="0" w:space="0" w:color="auto"/>
      </w:divBdr>
    </w:div>
    <w:div w:id="167602368">
      <w:bodyDiv w:val="1"/>
      <w:marLeft w:val="0"/>
      <w:marRight w:val="0"/>
      <w:marTop w:val="0"/>
      <w:marBottom w:val="0"/>
      <w:divBdr>
        <w:top w:val="none" w:sz="0" w:space="0" w:color="auto"/>
        <w:left w:val="none" w:sz="0" w:space="0" w:color="auto"/>
        <w:bottom w:val="none" w:sz="0" w:space="0" w:color="auto"/>
        <w:right w:val="none" w:sz="0" w:space="0" w:color="auto"/>
      </w:divBdr>
    </w:div>
    <w:div w:id="184489472">
      <w:bodyDiv w:val="1"/>
      <w:marLeft w:val="0"/>
      <w:marRight w:val="0"/>
      <w:marTop w:val="0"/>
      <w:marBottom w:val="0"/>
      <w:divBdr>
        <w:top w:val="none" w:sz="0" w:space="0" w:color="auto"/>
        <w:left w:val="none" w:sz="0" w:space="0" w:color="auto"/>
        <w:bottom w:val="none" w:sz="0" w:space="0" w:color="auto"/>
        <w:right w:val="none" w:sz="0" w:space="0" w:color="auto"/>
      </w:divBdr>
    </w:div>
    <w:div w:id="268513216">
      <w:bodyDiv w:val="1"/>
      <w:marLeft w:val="0"/>
      <w:marRight w:val="0"/>
      <w:marTop w:val="0"/>
      <w:marBottom w:val="0"/>
      <w:divBdr>
        <w:top w:val="none" w:sz="0" w:space="0" w:color="auto"/>
        <w:left w:val="none" w:sz="0" w:space="0" w:color="auto"/>
        <w:bottom w:val="none" w:sz="0" w:space="0" w:color="auto"/>
        <w:right w:val="none" w:sz="0" w:space="0" w:color="auto"/>
      </w:divBdr>
    </w:div>
    <w:div w:id="282152576">
      <w:bodyDiv w:val="1"/>
      <w:marLeft w:val="0"/>
      <w:marRight w:val="0"/>
      <w:marTop w:val="0"/>
      <w:marBottom w:val="0"/>
      <w:divBdr>
        <w:top w:val="none" w:sz="0" w:space="0" w:color="auto"/>
        <w:left w:val="none" w:sz="0" w:space="0" w:color="auto"/>
        <w:bottom w:val="none" w:sz="0" w:space="0" w:color="auto"/>
        <w:right w:val="none" w:sz="0" w:space="0" w:color="auto"/>
      </w:divBdr>
    </w:div>
    <w:div w:id="300696075">
      <w:bodyDiv w:val="1"/>
      <w:marLeft w:val="0"/>
      <w:marRight w:val="0"/>
      <w:marTop w:val="0"/>
      <w:marBottom w:val="0"/>
      <w:divBdr>
        <w:top w:val="none" w:sz="0" w:space="0" w:color="auto"/>
        <w:left w:val="none" w:sz="0" w:space="0" w:color="auto"/>
        <w:bottom w:val="none" w:sz="0" w:space="0" w:color="auto"/>
        <w:right w:val="none" w:sz="0" w:space="0" w:color="auto"/>
      </w:divBdr>
    </w:div>
    <w:div w:id="304745686">
      <w:bodyDiv w:val="1"/>
      <w:marLeft w:val="0"/>
      <w:marRight w:val="0"/>
      <w:marTop w:val="0"/>
      <w:marBottom w:val="0"/>
      <w:divBdr>
        <w:top w:val="none" w:sz="0" w:space="0" w:color="auto"/>
        <w:left w:val="none" w:sz="0" w:space="0" w:color="auto"/>
        <w:bottom w:val="none" w:sz="0" w:space="0" w:color="auto"/>
        <w:right w:val="none" w:sz="0" w:space="0" w:color="auto"/>
      </w:divBdr>
    </w:div>
    <w:div w:id="344139086">
      <w:bodyDiv w:val="1"/>
      <w:marLeft w:val="0"/>
      <w:marRight w:val="0"/>
      <w:marTop w:val="0"/>
      <w:marBottom w:val="0"/>
      <w:divBdr>
        <w:top w:val="none" w:sz="0" w:space="0" w:color="auto"/>
        <w:left w:val="none" w:sz="0" w:space="0" w:color="auto"/>
        <w:bottom w:val="none" w:sz="0" w:space="0" w:color="auto"/>
        <w:right w:val="none" w:sz="0" w:space="0" w:color="auto"/>
      </w:divBdr>
    </w:div>
    <w:div w:id="372585633">
      <w:bodyDiv w:val="1"/>
      <w:marLeft w:val="0"/>
      <w:marRight w:val="0"/>
      <w:marTop w:val="0"/>
      <w:marBottom w:val="0"/>
      <w:divBdr>
        <w:top w:val="none" w:sz="0" w:space="0" w:color="auto"/>
        <w:left w:val="none" w:sz="0" w:space="0" w:color="auto"/>
        <w:bottom w:val="none" w:sz="0" w:space="0" w:color="auto"/>
        <w:right w:val="none" w:sz="0" w:space="0" w:color="auto"/>
      </w:divBdr>
    </w:div>
    <w:div w:id="404769728">
      <w:bodyDiv w:val="1"/>
      <w:marLeft w:val="0"/>
      <w:marRight w:val="0"/>
      <w:marTop w:val="0"/>
      <w:marBottom w:val="0"/>
      <w:divBdr>
        <w:top w:val="none" w:sz="0" w:space="0" w:color="auto"/>
        <w:left w:val="none" w:sz="0" w:space="0" w:color="auto"/>
        <w:bottom w:val="none" w:sz="0" w:space="0" w:color="auto"/>
        <w:right w:val="none" w:sz="0" w:space="0" w:color="auto"/>
      </w:divBdr>
    </w:div>
    <w:div w:id="531845657">
      <w:bodyDiv w:val="1"/>
      <w:marLeft w:val="0"/>
      <w:marRight w:val="0"/>
      <w:marTop w:val="0"/>
      <w:marBottom w:val="0"/>
      <w:divBdr>
        <w:top w:val="none" w:sz="0" w:space="0" w:color="auto"/>
        <w:left w:val="none" w:sz="0" w:space="0" w:color="auto"/>
        <w:bottom w:val="none" w:sz="0" w:space="0" w:color="auto"/>
        <w:right w:val="none" w:sz="0" w:space="0" w:color="auto"/>
      </w:divBdr>
    </w:div>
    <w:div w:id="553007360">
      <w:bodyDiv w:val="1"/>
      <w:marLeft w:val="0"/>
      <w:marRight w:val="0"/>
      <w:marTop w:val="0"/>
      <w:marBottom w:val="0"/>
      <w:divBdr>
        <w:top w:val="none" w:sz="0" w:space="0" w:color="auto"/>
        <w:left w:val="none" w:sz="0" w:space="0" w:color="auto"/>
        <w:bottom w:val="none" w:sz="0" w:space="0" w:color="auto"/>
        <w:right w:val="none" w:sz="0" w:space="0" w:color="auto"/>
      </w:divBdr>
    </w:div>
    <w:div w:id="648169739">
      <w:bodyDiv w:val="1"/>
      <w:marLeft w:val="0"/>
      <w:marRight w:val="0"/>
      <w:marTop w:val="0"/>
      <w:marBottom w:val="0"/>
      <w:divBdr>
        <w:top w:val="none" w:sz="0" w:space="0" w:color="auto"/>
        <w:left w:val="none" w:sz="0" w:space="0" w:color="auto"/>
        <w:bottom w:val="none" w:sz="0" w:space="0" w:color="auto"/>
        <w:right w:val="none" w:sz="0" w:space="0" w:color="auto"/>
      </w:divBdr>
    </w:div>
    <w:div w:id="666640228">
      <w:bodyDiv w:val="1"/>
      <w:marLeft w:val="0"/>
      <w:marRight w:val="0"/>
      <w:marTop w:val="0"/>
      <w:marBottom w:val="0"/>
      <w:divBdr>
        <w:top w:val="none" w:sz="0" w:space="0" w:color="auto"/>
        <w:left w:val="none" w:sz="0" w:space="0" w:color="auto"/>
        <w:bottom w:val="none" w:sz="0" w:space="0" w:color="auto"/>
        <w:right w:val="none" w:sz="0" w:space="0" w:color="auto"/>
      </w:divBdr>
    </w:div>
    <w:div w:id="893274039">
      <w:bodyDiv w:val="1"/>
      <w:marLeft w:val="0"/>
      <w:marRight w:val="0"/>
      <w:marTop w:val="0"/>
      <w:marBottom w:val="0"/>
      <w:divBdr>
        <w:top w:val="none" w:sz="0" w:space="0" w:color="auto"/>
        <w:left w:val="none" w:sz="0" w:space="0" w:color="auto"/>
        <w:bottom w:val="none" w:sz="0" w:space="0" w:color="auto"/>
        <w:right w:val="none" w:sz="0" w:space="0" w:color="auto"/>
      </w:divBdr>
    </w:div>
    <w:div w:id="894046247">
      <w:bodyDiv w:val="1"/>
      <w:marLeft w:val="0"/>
      <w:marRight w:val="0"/>
      <w:marTop w:val="0"/>
      <w:marBottom w:val="0"/>
      <w:divBdr>
        <w:top w:val="none" w:sz="0" w:space="0" w:color="auto"/>
        <w:left w:val="none" w:sz="0" w:space="0" w:color="auto"/>
        <w:bottom w:val="none" w:sz="0" w:space="0" w:color="auto"/>
        <w:right w:val="none" w:sz="0" w:space="0" w:color="auto"/>
      </w:divBdr>
    </w:div>
    <w:div w:id="968432522">
      <w:bodyDiv w:val="1"/>
      <w:marLeft w:val="0"/>
      <w:marRight w:val="0"/>
      <w:marTop w:val="0"/>
      <w:marBottom w:val="0"/>
      <w:divBdr>
        <w:top w:val="none" w:sz="0" w:space="0" w:color="auto"/>
        <w:left w:val="none" w:sz="0" w:space="0" w:color="auto"/>
        <w:bottom w:val="none" w:sz="0" w:space="0" w:color="auto"/>
        <w:right w:val="none" w:sz="0" w:space="0" w:color="auto"/>
      </w:divBdr>
    </w:div>
    <w:div w:id="971401331">
      <w:bodyDiv w:val="1"/>
      <w:marLeft w:val="0"/>
      <w:marRight w:val="0"/>
      <w:marTop w:val="0"/>
      <w:marBottom w:val="0"/>
      <w:divBdr>
        <w:top w:val="none" w:sz="0" w:space="0" w:color="auto"/>
        <w:left w:val="none" w:sz="0" w:space="0" w:color="auto"/>
        <w:bottom w:val="none" w:sz="0" w:space="0" w:color="auto"/>
        <w:right w:val="none" w:sz="0" w:space="0" w:color="auto"/>
      </w:divBdr>
      <w:divsChild>
        <w:div w:id="2075203747">
          <w:marLeft w:val="0"/>
          <w:marRight w:val="0"/>
          <w:marTop w:val="0"/>
          <w:marBottom w:val="0"/>
          <w:divBdr>
            <w:top w:val="none" w:sz="0" w:space="0" w:color="auto"/>
            <w:left w:val="none" w:sz="0" w:space="0" w:color="auto"/>
            <w:bottom w:val="none" w:sz="0" w:space="0" w:color="auto"/>
            <w:right w:val="none" w:sz="0" w:space="0" w:color="auto"/>
          </w:divBdr>
          <w:divsChild>
            <w:div w:id="1089042417">
              <w:marLeft w:val="0"/>
              <w:marRight w:val="0"/>
              <w:marTop w:val="0"/>
              <w:marBottom w:val="0"/>
              <w:divBdr>
                <w:top w:val="none" w:sz="0" w:space="0" w:color="auto"/>
                <w:left w:val="none" w:sz="0" w:space="0" w:color="auto"/>
                <w:bottom w:val="none" w:sz="0" w:space="0" w:color="auto"/>
                <w:right w:val="none" w:sz="0" w:space="0" w:color="auto"/>
              </w:divBdr>
            </w:div>
            <w:div w:id="156191543">
              <w:marLeft w:val="0"/>
              <w:marRight w:val="0"/>
              <w:marTop w:val="0"/>
              <w:marBottom w:val="0"/>
              <w:divBdr>
                <w:top w:val="none" w:sz="0" w:space="0" w:color="auto"/>
                <w:left w:val="none" w:sz="0" w:space="0" w:color="auto"/>
                <w:bottom w:val="none" w:sz="0" w:space="0" w:color="auto"/>
                <w:right w:val="none" w:sz="0" w:space="0" w:color="auto"/>
              </w:divBdr>
            </w:div>
            <w:div w:id="2979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6695">
      <w:bodyDiv w:val="1"/>
      <w:marLeft w:val="0"/>
      <w:marRight w:val="0"/>
      <w:marTop w:val="0"/>
      <w:marBottom w:val="0"/>
      <w:divBdr>
        <w:top w:val="none" w:sz="0" w:space="0" w:color="auto"/>
        <w:left w:val="none" w:sz="0" w:space="0" w:color="auto"/>
        <w:bottom w:val="none" w:sz="0" w:space="0" w:color="auto"/>
        <w:right w:val="none" w:sz="0" w:space="0" w:color="auto"/>
      </w:divBdr>
    </w:div>
    <w:div w:id="1006791148">
      <w:bodyDiv w:val="1"/>
      <w:marLeft w:val="0"/>
      <w:marRight w:val="0"/>
      <w:marTop w:val="0"/>
      <w:marBottom w:val="0"/>
      <w:divBdr>
        <w:top w:val="none" w:sz="0" w:space="0" w:color="auto"/>
        <w:left w:val="none" w:sz="0" w:space="0" w:color="auto"/>
        <w:bottom w:val="none" w:sz="0" w:space="0" w:color="auto"/>
        <w:right w:val="none" w:sz="0" w:space="0" w:color="auto"/>
      </w:divBdr>
    </w:div>
    <w:div w:id="1062482956">
      <w:bodyDiv w:val="1"/>
      <w:marLeft w:val="0"/>
      <w:marRight w:val="0"/>
      <w:marTop w:val="0"/>
      <w:marBottom w:val="0"/>
      <w:divBdr>
        <w:top w:val="none" w:sz="0" w:space="0" w:color="auto"/>
        <w:left w:val="none" w:sz="0" w:space="0" w:color="auto"/>
        <w:bottom w:val="none" w:sz="0" w:space="0" w:color="auto"/>
        <w:right w:val="none" w:sz="0" w:space="0" w:color="auto"/>
      </w:divBdr>
      <w:divsChild>
        <w:div w:id="500198466">
          <w:marLeft w:val="0"/>
          <w:marRight w:val="0"/>
          <w:marTop w:val="0"/>
          <w:marBottom w:val="0"/>
          <w:divBdr>
            <w:top w:val="none" w:sz="0" w:space="0" w:color="auto"/>
            <w:left w:val="none" w:sz="0" w:space="0" w:color="auto"/>
            <w:bottom w:val="none" w:sz="0" w:space="0" w:color="auto"/>
            <w:right w:val="none" w:sz="0" w:space="0" w:color="auto"/>
          </w:divBdr>
          <w:divsChild>
            <w:div w:id="1026759667">
              <w:marLeft w:val="0"/>
              <w:marRight w:val="0"/>
              <w:marTop w:val="0"/>
              <w:marBottom w:val="0"/>
              <w:divBdr>
                <w:top w:val="none" w:sz="0" w:space="0" w:color="auto"/>
                <w:left w:val="none" w:sz="0" w:space="0" w:color="auto"/>
                <w:bottom w:val="none" w:sz="0" w:space="0" w:color="auto"/>
                <w:right w:val="none" w:sz="0" w:space="0" w:color="auto"/>
              </w:divBdr>
            </w:div>
            <w:div w:id="978536229">
              <w:marLeft w:val="0"/>
              <w:marRight w:val="0"/>
              <w:marTop w:val="0"/>
              <w:marBottom w:val="0"/>
              <w:divBdr>
                <w:top w:val="none" w:sz="0" w:space="0" w:color="auto"/>
                <w:left w:val="none" w:sz="0" w:space="0" w:color="auto"/>
                <w:bottom w:val="none" w:sz="0" w:space="0" w:color="auto"/>
                <w:right w:val="none" w:sz="0" w:space="0" w:color="auto"/>
              </w:divBdr>
            </w:div>
            <w:div w:id="16959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3180">
      <w:bodyDiv w:val="1"/>
      <w:marLeft w:val="0"/>
      <w:marRight w:val="0"/>
      <w:marTop w:val="0"/>
      <w:marBottom w:val="0"/>
      <w:divBdr>
        <w:top w:val="none" w:sz="0" w:space="0" w:color="auto"/>
        <w:left w:val="none" w:sz="0" w:space="0" w:color="auto"/>
        <w:bottom w:val="none" w:sz="0" w:space="0" w:color="auto"/>
        <w:right w:val="none" w:sz="0" w:space="0" w:color="auto"/>
      </w:divBdr>
    </w:div>
    <w:div w:id="1238587315">
      <w:bodyDiv w:val="1"/>
      <w:marLeft w:val="0"/>
      <w:marRight w:val="0"/>
      <w:marTop w:val="0"/>
      <w:marBottom w:val="0"/>
      <w:divBdr>
        <w:top w:val="none" w:sz="0" w:space="0" w:color="auto"/>
        <w:left w:val="none" w:sz="0" w:space="0" w:color="auto"/>
        <w:bottom w:val="none" w:sz="0" w:space="0" w:color="auto"/>
        <w:right w:val="none" w:sz="0" w:space="0" w:color="auto"/>
      </w:divBdr>
    </w:div>
    <w:div w:id="1271474440">
      <w:bodyDiv w:val="1"/>
      <w:marLeft w:val="0"/>
      <w:marRight w:val="0"/>
      <w:marTop w:val="0"/>
      <w:marBottom w:val="0"/>
      <w:divBdr>
        <w:top w:val="none" w:sz="0" w:space="0" w:color="auto"/>
        <w:left w:val="none" w:sz="0" w:space="0" w:color="auto"/>
        <w:bottom w:val="none" w:sz="0" w:space="0" w:color="auto"/>
        <w:right w:val="none" w:sz="0" w:space="0" w:color="auto"/>
      </w:divBdr>
    </w:div>
    <w:div w:id="1428385620">
      <w:bodyDiv w:val="1"/>
      <w:marLeft w:val="0"/>
      <w:marRight w:val="0"/>
      <w:marTop w:val="0"/>
      <w:marBottom w:val="0"/>
      <w:divBdr>
        <w:top w:val="none" w:sz="0" w:space="0" w:color="auto"/>
        <w:left w:val="none" w:sz="0" w:space="0" w:color="auto"/>
        <w:bottom w:val="none" w:sz="0" w:space="0" w:color="auto"/>
        <w:right w:val="none" w:sz="0" w:space="0" w:color="auto"/>
      </w:divBdr>
    </w:div>
    <w:div w:id="1506478738">
      <w:bodyDiv w:val="1"/>
      <w:marLeft w:val="0"/>
      <w:marRight w:val="0"/>
      <w:marTop w:val="0"/>
      <w:marBottom w:val="0"/>
      <w:divBdr>
        <w:top w:val="none" w:sz="0" w:space="0" w:color="auto"/>
        <w:left w:val="none" w:sz="0" w:space="0" w:color="auto"/>
        <w:bottom w:val="none" w:sz="0" w:space="0" w:color="auto"/>
        <w:right w:val="none" w:sz="0" w:space="0" w:color="auto"/>
      </w:divBdr>
    </w:div>
    <w:div w:id="1520777426">
      <w:bodyDiv w:val="1"/>
      <w:marLeft w:val="0"/>
      <w:marRight w:val="0"/>
      <w:marTop w:val="0"/>
      <w:marBottom w:val="0"/>
      <w:divBdr>
        <w:top w:val="none" w:sz="0" w:space="0" w:color="auto"/>
        <w:left w:val="none" w:sz="0" w:space="0" w:color="auto"/>
        <w:bottom w:val="none" w:sz="0" w:space="0" w:color="auto"/>
        <w:right w:val="none" w:sz="0" w:space="0" w:color="auto"/>
      </w:divBdr>
    </w:div>
    <w:div w:id="1576553985">
      <w:bodyDiv w:val="1"/>
      <w:marLeft w:val="0"/>
      <w:marRight w:val="0"/>
      <w:marTop w:val="0"/>
      <w:marBottom w:val="0"/>
      <w:divBdr>
        <w:top w:val="none" w:sz="0" w:space="0" w:color="auto"/>
        <w:left w:val="none" w:sz="0" w:space="0" w:color="auto"/>
        <w:bottom w:val="none" w:sz="0" w:space="0" w:color="auto"/>
        <w:right w:val="none" w:sz="0" w:space="0" w:color="auto"/>
      </w:divBdr>
    </w:div>
    <w:div w:id="1602109607">
      <w:bodyDiv w:val="1"/>
      <w:marLeft w:val="0"/>
      <w:marRight w:val="0"/>
      <w:marTop w:val="0"/>
      <w:marBottom w:val="0"/>
      <w:divBdr>
        <w:top w:val="none" w:sz="0" w:space="0" w:color="auto"/>
        <w:left w:val="none" w:sz="0" w:space="0" w:color="auto"/>
        <w:bottom w:val="none" w:sz="0" w:space="0" w:color="auto"/>
        <w:right w:val="none" w:sz="0" w:space="0" w:color="auto"/>
      </w:divBdr>
    </w:div>
    <w:div w:id="1637681022">
      <w:bodyDiv w:val="1"/>
      <w:marLeft w:val="0"/>
      <w:marRight w:val="0"/>
      <w:marTop w:val="0"/>
      <w:marBottom w:val="0"/>
      <w:divBdr>
        <w:top w:val="none" w:sz="0" w:space="0" w:color="auto"/>
        <w:left w:val="none" w:sz="0" w:space="0" w:color="auto"/>
        <w:bottom w:val="none" w:sz="0" w:space="0" w:color="auto"/>
        <w:right w:val="none" w:sz="0" w:space="0" w:color="auto"/>
      </w:divBdr>
    </w:div>
    <w:div w:id="1765881261">
      <w:bodyDiv w:val="1"/>
      <w:marLeft w:val="0"/>
      <w:marRight w:val="0"/>
      <w:marTop w:val="0"/>
      <w:marBottom w:val="0"/>
      <w:divBdr>
        <w:top w:val="none" w:sz="0" w:space="0" w:color="auto"/>
        <w:left w:val="none" w:sz="0" w:space="0" w:color="auto"/>
        <w:bottom w:val="none" w:sz="0" w:space="0" w:color="auto"/>
        <w:right w:val="none" w:sz="0" w:space="0" w:color="auto"/>
      </w:divBdr>
    </w:div>
    <w:div w:id="1895047023">
      <w:bodyDiv w:val="1"/>
      <w:marLeft w:val="0"/>
      <w:marRight w:val="0"/>
      <w:marTop w:val="0"/>
      <w:marBottom w:val="0"/>
      <w:divBdr>
        <w:top w:val="none" w:sz="0" w:space="0" w:color="auto"/>
        <w:left w:val="none" w:sz="0" w:space="0" w:color="auto"/>
        <w:bottom w:val="none" w:sz="0" w:space="0" w:color="auto"/>
        <w:right w:val="none" w:sz="0" w:space="0" w:color="auto"/>
      </w:divBdr>
    </w:div>
    <w:div w:id="1910996905">
      <w:bodyDiv w:val="1"/>
      <w:marLeft w:val="0"/>
      <w:marRight w:val="0"/>
      <w:marTop w:val="0"/>
      <w:marBottom w:val="0"/>
      <w:divBdr>
        <w:top w:val="none" w:sz="0" w:space="0" w:color="auto"/>
        <w:left w:val="none" w:sz="0" w:space="0" w:color="auto"/>
        <w:bottom w:val="none" w:sz="0" w:space="0" w:color="auto"/>
        <w:right w:val="none" w:sz="0" w:space="0" w:color="auto"/>
      </w:divBdr>
    </w:div>
    <w:div w:id="2087259215">
      <w:bodyDiv w:val="1"/>
      <w:marLeft w:val="0"/>
      <w:marRight w:val="0"/>
      <w:marTop w:val="0"/>
      <w:marBottom w:val="0"/>
      <w:divBdr>
        <w:top w:val="none" w:sz="0" w:space="0" w:color="auto"/>
        <w:left w:val="none" w:sz="0" w:space="0" w:color="auto"/>
        <w:bottom w:val="none" w:sz="0" w:space="0" w:color="auto"/>
        <w:right w:val="none" w:sz="0" w:space="0" w:color="auto"/>
      </w:divBdr>
    </w:div>
    <w:div w:id="2110084336">
      <w:bodyDiv w:val="1"/>
      <w:marLeft w:val="0"/>
      <w:marRight w:val="0"/>
      <w:marTop w:val="0"/>
      <w:marBottom w:val="0"/>
      <w:divBdr>
        <w:top w:val="none" w:sz="0" w:space="0" w:color="auto"/>
        <w:left w:val="none" w:sz="0" w:space="0" w:color="auto"/>
        <w:bottom w:val="none" w:sz="0" w:space="0" w:color="auto"/>
        <w:right w:val="none" w:sz="0" w:space="0" w:color="auto"/>
      </w:divBdr>
      <w:divsChild>
        <w:div w:id="155654936">
          <w:marLeft w:val="0"/>
          <w:marRight w:val="0"/>
          <w:marTop w:val="0"/>
          <w:marBottom w:val="0"/>
          <w:divBdr>
            <w:top w:val="none" w:sz="0" w:space="0" w:color="auto"/>
            <w:left w:val="none" w:sz="0" w:space="0" w:color="auto"/>
            <w:bottom w:val="none" w:sz="0" w:space="0" w:color="auto"/>
            <w:right w:val="none" w:sz="0" w:space="0" w:color="auto"/>
          </w:divBdr>
          <w:divsChild>
            <w:div w:id="1011222178">
              <w:marLeft w:val="0"/>
              <w:marRight w:val="0"/>
              <w:marTop w:val="0"/>
              <w:marBottom w:val="0"/>
              <w:divBdr>
                <w:top w:val="none" w:sz="0" w:space="0" w:color="auto"/>
                <w:left w:val="none" w:sz="0" w:space="0" w:color="auto"/>
                <w:bottom w:val="none" w:sz="0" w:space="0" w:color="auto"/>
                <w:right w:val="none" w:sz="0" w:space="0" w:color="auto"/>
              </w:divBdr>
            </w:div>
            <w:div w:id="88896664">
              <w:marLeft w:val="0"/>
              <w:marRight w:val="0"/>
              <w:marTop w:val="0"/>
              <w:marBottom w:val="0"/>
              <w:divBdr>
                <w:top w:val="none" w:sz="0" w:space="0" w:color="auto"/>
                <w:left w:val="none" w:sz="0" w:space="0" w:color="auto"/>
                <w:bottom w:val="none" w:sz="0" w:space="0" w:color="auto"/>
                <w:right w:val="none" w:sz="0" w:space="0" w:color="auto"/>
              </w:divBdr>
            </w:div>
            <w:div w:id="6865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BD1562-EE64-40AB-A364-A4F8BD9DF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Pages>20</Pages>
  <Words>2463</Words>
  <Characters>14043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106</cp:revision>
  <dcterms:created xsi:type="dcterms:W3CDTF">2025-09-23T07:11:00Z</dcterms:created>
  <dcterms:modified xsi:type="dcterms:W3CDTF">2025-09-29T08:11:00Z</dcterms:modified>
</cp:coreProperties>
</file>