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sz w:val="36"/>
        </w:rPr>
        <w:t>CuraGrid: An ABDM-Compliant Interoperable Digital Health Ecosystem with Cryptographic Consent, Dynamic MEWS Triage, and Decentralized Records Verification</w:t>
      </w:r>
    </w:p>
    <w:p>
      <w:pPr>
        <w:spacing w:after="240"/>
        <w:jc w:val="center"/>
      </w:pPr>
      <w:r>
        <w:rPr>
          <w:rFonts w:ascii="Times New Roman" w:hAnsi="Times New Roman"/>
          <w:b/>
          <w:sz w:val="22"/>
        </w:rPr>
        <w:t>Mohit Chaudhary</w:t>
        <w:br/>
      </w:r>
      <w:r>
        <w:rPr>
          <w:rFonts w:ascii="Times New Roman" w:hAnsi="Times New Roman"/>
          <w:sz w:val="19"/>
        </w:rPr>
        <w:t>Dept. of Computer Science &amp; Engineering, Silver Oak University, Ahmedabad, India</w:t>
        <w:br/>
        <w:t>chaudharymohit1694@gmail.com</w:t>
      </w:r>
    </w:p>
    <w:p>
      <w:pPr>
        <w:sectPr>
          <w:pgSz w:w="11909" w:h="16834"/>
          <w:pgMar w:top="720" w:right="720" w:bottom="720" w:left="720" w:header="720" w:footer="720" w:gutter="0"/>
          <w:cols w:space="720"/>
          <w:docGrid w:linePitch="360"/>
        </w:sectPr>
      </w:pPr>
    </w:p>
    <w:p>
      <w:pPr>
        <w:spacing w:line="252" w:lineRule="auto"/>
        <w:jc w:val="both"/>
      </w:pPr>
      <w:r>
        <w:rPr>
          <w:rFonts w:ascii="Times New Roman" w:hAnsi="Times New Roman"/>
          <w:b/>
          <w:i/>
          <w:sz w:val="18"/>
        </w:rPr>
        <w:t>Abstract—</w:t>
      </w:r>
      <w:r>
        <w:rPr>
          <w:rFonts w:ascii="Times New Roman" w:hAnsi="Times New Roman"/>
          <w:i/>
          <w:sz w:val="18"/>
        </w:rPr>
        <w:t>The fragmentation of Electronic Medical Records (EMRs) across proprietary hospital information systems remains a primary bottleneck in contemporary clinical delivery, resulting in diagnostic duplications, delayed emergency triage, and disconnected patient histories. While India's Ayushman Bharat Digital Mission (ABDM) establishes a national digital health federation via Ayushman Bharat Health Accounts (ABHA) and Fast Healthcare Interoperability Resources (FHIR) protocols, a severe digital divide persists: thousands of standalone clinics and diagnostic laboratories lack ABDM gateway integration. This paper presents CuraGrid, an execution-first, ABDM-compliant clinical operating platform engineered to eliminate institutional silos and offline care discontinuities. CuraGrid couples a cryptographic ABHA-driven FHIR synchronization gateway with a patient-governed offline fallback vault utilizing Base64-encoded document streaming. The architecture integrates an automated Modified Early Warning Score (MEWS) triage engine, a tamper-evident digital prescription pad with verification QR codes, and in-portal cashless insurance pre-authorization. Benchmarks demonstrate record ingestion in &amp;lt;145 ms, offline retrieval in &amp;lt;48 ms, and triage alert latency under 35 ms, fully adhering to India's DPDP Act 2023 and HIPAA standards.</w:t>
      </w:r>
    </w:p>
    <w:p>
      <w:pPr>
        <w:jc w:val="both"/>
      </w:pPr>
      <w:r>
        <w:rPr>
          <w:rFonts w:ascii="Times New Roman" w:hAnsi="Times New Roman"/>
          <w:b/>
          <w:i/>
          <w:sz w:val="18"/>
        </w:rPr>
        <w:t>Index Terms—</w:t>
      </w:r>
      <w:r>
        <w:rPr>
          <w:rFonts w:ascii="Times New Roman" w:hAnsi="Times New Roman"/>
          <w:sz w:val="18"/>
        </w:rPr>
        <w:t>Ayushman Bharat Digital Mission (ABDM), Ayushman Bharat Health Account (ABHA), Fast Healthcare Interoperability Resources (FHIR), Electronic Medical Records (EMR), Clinical Triage, Telemedicine, Health-Tech SaaS, CuraGrid.</w:t>
      </w:r>
    </w:p>
    <w:p>
      <w:pPr>
        <w:spacing w:before="200" w:after="80"/>
        <w:jc w:val="center"/>
      </w:pPr>
      <w:r>
        <w:rPr>
          <w:rFonts w:ascii="Times New Roman" w:hAnsi="Times New Roman"/>
          <w:b/>
          <w:sz w:val="20"/>
        </w:rPr>
        <w:t>I. INTRODUCTION</w:t>
      </w:r>
    </w:p>
    <w:p>
      <w:pPr>
        <w:spacing w:line="252" w:lineRule="auto" w:after="80"/>
        <w:jc w:val="both"/>
      </w:pPr>
      <w:r>
        <w:rPr>
          <w:rFonts w:ascii="Times New Roman" w:hAnsi="Times New Roman"/>
          <w:sz w:val="19"/>
        </w:rPr>
        <w:t>In contemporary healthcare engineering, comprehensive clinical decision-making relies critically on immediate, unhindered access to longitudinal patient health records. Historically, medical history has been fragmented across isolated physical files and heterogeneous hospital information management systems. In response, national initiatives such as India's Ayushman Bharat Digital Mission (ABDM), spearheaded by the National Health Authority (NHA), have laid the technical foundation for a federated digital health infrastructure. By standardizing health data exchanges through the Ayushman Bharat Health Account (ABHA) and Fast Healthcare Interoperability Resources (FHIR), ABDM envisions frictionless patient data mobility. However, despite rapid macro-level policy adoption, frontline clinical workflows continue to suffer from severe execution-phase disconnects.</w:t>
      </w:r>
    </w:p>
    <w:p>
      <w:pPr>
        <w:spacing w:line="252" w:lineRule="auto" w:after="80"/>
        <w:jc w:val="both"/>
      </w:pPr>
      <w:r>
        <w:rPr>
          <w:rFonts w:ascii="Times New Roman" w:hAnsi="Times New Roman"/>
          <w:sz w:val="19"/>
        </w:rPr>
        <w:t>Recent public health assessments indicate that out-of-pocket expenditure (OOPE) accounts for over 47% of total healthcare spending in India, with redundant diagnostic investigations—such as repeated biochemistry panels, lipid profiles, and radiographic imaging—constituting up to 22% of outpatient costs. When patients switch healthcare providers, consulting physicians frequently operate in clinical blind spots due to absent historical dossiers. Consequently, clinicians are forced to re-order investigations, exacerbating diagnostic delays, increasing patient financial toxicity, and elevating clinical risk.</w:t>
      </w:r>
    </w:p>
    <w:p>
      <w:pPr>
        <w:spacing w:line="252" w:lineRule="auto" w:after="80"/>
        <w:jc w:val="both"/>
      </w:pPr>
      <w:r>
        <w:rPr>
          <w:rFonts w:ascii="Times New Roman" w:hAnsi="Times New Roman"/>
          <w:sz w:val="19"/>
        </w:rPr>
        <w:t>This operational fragmentation creates three major clinical bottlenecks across the healthcare ecosystem:</w:t>
      </w:r>
    </w:p>
    <w:p>
      <w:pPr>
        <w:spacing w:line="252" w:lineRule="auto" w:after="80"/>
        <w:jc w:val="both"/>
      </w:pPr>
      <w:r>
        <w:rPr>
          <w:rFonts w:ascii="Times New Roman" w:hAnsi="Times New Roman"/>
          <w:sz w:val="19"/>
        </w:rPr>
        <w:t>1) Proprietary Hospital Silos and Vendor Lock-in: Commercial private hospital networks (e.g., Apollo 24/7, Fortis, Max Healthcare) architect their digital applications as walled gardens. Diagnostic tests, imaging scans, and clinical summaries recorded at one institution are locked within proprietary databases, preventing external clinicians from querying past records and forcing redundant investigations.</w:t>
      </w:r>
    </w:p>
    <w:p>
      <w:pPr>
        <w:spacing w:line="252" w:lineRule="auto" w:after="80"/>
        <w:jc w:val="both"/>
      </w:pPr>
      <w:r>
        <w:rPr>
          <w:rFonts w:ascii="Times New Roman" w:hAnsi="Times New Roman"/>
          <w:sz w:val="19"/>
        </w:rPr>
        <w:t>2) The Digital-Physical Healthcare Chasm: In semi-urban demographics, a vast majority of primary care encounters occur at standalone clinics and local diagnostic labs lacking ABDM gateway infrastructure. Physical paper prescriptions and scanned PDFs remain excluded from national federated exchanges.</w:t>
      </w:r>
    </w:p>
    <w:p>
      <w:pPr>
        <w:spacing w:line="252" w:lineRule="auto" w:after="80"/>
        <w:jc w:val="both"/>
      </w:pPr>
      <w:r>
        <w:rPr>
          <w:rFonts w:ascii="Times New Roman" w:hAnsi="Times New Roman"/>
          <w:sz w:val="19"/>
        </w:rPr>
        <w:t>3) Disconnected Triage and Billing Workflows: Mainstream commercial aggregators operate merely as appointment booking directories, lacking continuous IoT vitals telemetry monitoring, automated emergency deterioration alerts, and integrated cashless health insurance pre-authorization.</w:t>
      </w:r>
    </w:p>
    <w:p>
      <w:pPr>
        <w:spacing w:line="252" w:lineRule="auto" w:after="80"/>
        <w:jc w:val="both"/>
      </w:pPr>
      <w:r>
        <w:rPr>
          <w:rFonts w:ascii="Times New Roman" w:hAnsi="Times New Roman"/>
          <w:sz w:val="19"/>
        </w:rPr>
        <w:t>To resolve these systemic bottlenecks, we engineered CuraGrid—an execution-centric clinical platform bridging discovery, cross-institutional data mobility, and structured clinical execution. CuraGrid unifies digital ABHA records with self-uploaded offline records, triggers real-time vitals triage alerts, and accelerates cashless claims.</w:t>
      </w:r>
    </w:p>
    <w:p>
      <w:pPr>
        <w:spacing w:line="252" w:lineRule="auto" w:after="80"/>
        <w:jc w:val="both"/>
      </w:pPr>
      <w:r>
        <w:rPr>
          <w:rFonts w:ascii="Times New Roman" w:hAnsi="Times New Roman"/>
          <w:sz w:val="19"/>
        </w:rPr>
        <w:t>Department of Computer Science &amp; Engineering, Silver Oak University, Ahmedabad, India.</w:t>
      </w:r>
    </w:p>
    <w:p>
      <w:pPr>
        <w:spacing w:before="200" w:after="80"/>
        <w:jc w:val="center"/>
      </w:pPr>
      <w:r>
        <w:rPr>
          <w:rFonts w:ascii="Times New Roman" w:hAnsi="Times New Roman"/>
          <w:b/>
          <w:sz w:val="20"/>
        </w:rPr>
        <w:t>II. LITERATURE REVIEW &amp; COMPARATIVE ANALYSIS</w:t>
      </w:r>
    </w:p>
    <w:p>
      <w:pPr>
        <w:spacing w:line="252" w:lineRule="auto" w:after="80"/>
        <w:jc w:val="both"/>
      </w:pPr>
      <w:r>
        <w:rPr>
          <w:rFonts w:ascii="Times New Roman" w:hAnsi="Times New Roman"/>
          <w:sz w:val="19"/>
        </w:rPr>
        <w:t>Healthcare informatics research emphasizes that longitudinal electronic record continuity directly improves clinical outcomes. While HL7 FHIR provides a standardized schema, commercial implementations lock data behind proprietary paywalls. Aggregators such as Practo focus on outpatient scheduling but lack deep clinical bedside integration and triage alerts. Furthermore, while scoring frameworks such as the Modified Early Warning Score (MEWS) have proven efficacy in ICUs, they remain absent from routine outpatient queues. CuraGrid bridges this gap by embedding a dynamic MEWS triage rule engine directly into the outpatient consultation pipeline.</w:t>
      </w:r>
    </w:p>
    <w:p>
      <w:pPr>
        <w:jc w:val="center"/>
      </w:pPr>
      <w:r>
        <w:rPr>
          <w:rFonts w:ascii="Times New Roman" w:hAnsi="Times New Roman"/>
          <w:b/>
          <w:sz w:val="17"/>
        </w:rPr>
        <w:t>TABLE I: COMPARATIVE FEATURE ANALYSIS OF HEALTHCARE PLATFORMS</w:t>
      </w:r>
    </w:p>
    <w:tbl>
      <w:tblPr>
        <w:tblW w:type="auto" w:w="0"/>
        <w:jc w:val="center"/>
        <w:tblLook w:firstColumn="1" w:firstRow="1" w:lastColumn="0" w:lastRow="0" w:noHBand="0" w:noVBand="1" w:val="04A0"/>
      </w:tblPr>
      <w:tblGrid>
        <w:gridCol w:w="2094"/>
        <w:gridCol w:w="2094"/>
        <w:gridCol w:w="2094"/>
        <w:gridCol w:w="2094"/>
        <w:gridCol w:w="2094"/>
      </w:tblGrid>
      <w:tr>
        <w:tc>
          <w:tcPr>
            <w:tcW w:type="dxa" w:w="2094"/>
          </w:tcPr>
          <w:p>
            <w:pPr>
              <w:spacing w:line="240" w:lineRule="auto" w:before="40" w:after="40"/>
              <w:jc w:val="center"/>
            </w:pPr>
            <w:r>
              <w:rPr>
                <w:rFonts w:ascii="Times New Roman" w:hAnsi="Times New Roman"/>
                <w:b/>
                <w:sz w:val="15"/>
              </w:rPr>
              <w:t>Feature / Metric</w:t>
            </w:r>
          </w:p>
        </w:tc>
        <w:tc>
          <w:tcPr>
            <w:tcW w:type="dxa" w:w="2094"/>
          </w:tcPr>
          <w:p>
            <w:pPr>
              <w:spacing w:line="240" w:lineRule="auto" w:before="40" w:after="40"/>
              <w:jc w:val="center"/>
            </w:pPr>
            <w:r>
              <w:rPr>
                <w:rFonts w:ascii="Times New Roman" w:hAnsi="Times New Roman"/>
                <w:b/>
                <w:sz w:val="15"/>
              </w:rPr>
              <w:t>Apollo / Fortis</w:t>
            </w:r>
          </w:p>
        </w:tc>
        <w:tc>
          <w:tcPr>
            <w:tcW w:type="dxa" w:w="2094"/>
          </w:tcPr>
          <w:p>
            <w:pPr>
              <w:spacing w:line="240" w:lineRule="auto" w:before="40" w:after="40"/>
              <w:jc w:val="center"/>
            </w:pPr>
            <w:r>
              <w:rPr>
                <w:rFonts w:ascii="Times New Roman" w:hAnsi="Times New Roman"/>
                <w:b/>
                <w:sz w:val="15"/>
              </w:rPr>
              <w:t>Practo / 1mg</w:t>
            </w:r>
          </w:p>
        </w:tc>
        <w:tc>
          <w:tcPr>
            <w:tcW w:type="dxa" w:w="2094"/>
          </w:tcPr>
          <w:p>
            <w:pPr>
              <w:spacing w:line="240" w:lineRule="auto" w:before="40" w:after="40"/>
              <w:jc w:val="center"/>
            </w:pPr>
            <w:r>
              <w:rPr>
                <w:rFonts w:ascii="Times New Roman" w:hAnsi="Times New Roman"/>
                <w:b/>
                <w:sz w:val="15"/>
              </w:rPr>
              <w:t>Traditional HIS</w:t>
            </w:r>
          </w:p>
        </w:tc>
        <w:tc>
          <w:tcPr>
            <w:tcW w:type="dxa" w:w="2094"/>
          </w:tcPr>
          <w:p>
            <w:pPr>
              <w:spacing w:line="240" w:lineRule="auto" w:before="40" w:after="40"/>
              <w:jc w:val="center"/>
            </w:pPr>
            <w:r>
              <w:rPr>
                <w:rFonts w:ascii="Times New Roman" w:hAnsi="Times New Roman"/>
                <w:b/>
                <w:sz w:val="15"/>
              </w:rPr>
              <w:t>CuraGrid (Ours)</w:t>
            </w:r>
          </w:p>
        </w:tc>
      </w:tr>
      <w:tr>
        <w:tc>
          <w:tcPr>
            <w:tcW w:type="dxa" w:w="2094"/>
          </w:tcPr>
          <w:p>
            <w:pPr>
              <w:spacing w:line="240" w:lineRule="auto" w:before="40" w:after="40"/>
              <w:jc w:val="left"/>
            </w:pPr>
            <w:r>
              <w:rPr>
                <w:rFonts w:ascii="Times New Roman" w:hAnsi="Times New Roman"/>
                <w:sz w:val="15"/>
              </w:rPr>
              <w:t>Data Architecture</w:t>
            </w:r>
          </w:p>
        </w:tc>
        <w:tc>
          <w:tcPr>
            <w:tcW w:type="dxa" w:w="2094"/>
          </w:tcPr>
          <w:p>
            <w:pPr>
              <w:spacing w:line="240" w:lineRule="auto" w:before="40" w:after="40"/>
              <w:jc w:val="center"/>
            </w:pPr>
            <w:r>
              <w:rPr>
                <w:rFonts w:ascii="Times New Roman" w:hAnsi="Times New Roman"/>
                <w:sz w:val="15"/>
              </w:rPr>
              <w:t>Proprietary Silo</w:t>
            </w:r>
          </w:p>
        </w:tc>
        <w:tc>
          <w:tcPr>
            <w:tcW w:type="dxa" w:w="2094"/>
          </w:tcPr>
          <w:p>
            <w:pPr>
              <w:spacing w:line="240" w:lineRule="auto" w:before="40" w:after="40"/>
              <w:jc w:val="center"/>
            </w:pPr>
            <w:r>
              <w:rPr>
                <w:rFonts w:ascii="Times New Roman" w:hAnsi="Times New Roman"/>
                <w:sz w:val="15"/>
              </w:rPr>
              <w:t>Aggregator DB</w:t>
            </w:r>
          </w:p>
        </w:tc>
        <w:tc>
          <w:tcPr>
            <w:tcW w:type="dxa" w:w="2094"/>
          </w:tcPr>
          <w:p>
            <w:pPr>
              <w:spacing w:line="240" w:lineRule="auto" w:before="40" w:after="40"/>
              <w:jc w:val="center"/>
            </w:pPr>
            <w:r>
              <w:rPr>
                <w:rFonts w:ascii="Times New Roman" w:hAnsi="Times New Roman"/>
                <w:sz w:val="15"/>
              </w:rPr>
              <w:t>On-Premise Silo</w:t>
            </w:r>
          </w:p>
        </w:tc>
        <w:tc>
          <w:tcPr>
            <w:tcW w:type="dxa" w:w="2094"/>
          </w:tcPr>
          <w:p>
            <w:pPr>
              <w:spacing w:line="240" w:lineRule="auto" w:before="40" w:after="40"/>
              <w:jc w:val="center"/>
            </w:pPr>
            <w:r>
              <w:rPr>
                <w:rFonts w:ascii="Times New Roman" w:hAnsi="Times New Roman"/>
                <w:b/>
                <w:sz w:val="15"/>
              </w:rPr>
              <w:t>ABDM Open Stack</w:t>
            </w:r>
          </w:p>
        </w:tc>
      </w:tr>
      <w:tr>
        <w:tc>
          <w:tcPr>
            <w:tcW w:type="dxa" w:w="2094"/>
          </w:tcPr>
          <w:p>
            <w:pPr>
              <w:spacing w:line="240" w:lineRule="auto" w:before="40" w:after="40"/>
              <w:jc w:val="left"/>
            </w:pPr>
            <w:r>
              <w:rPr>
                <w:rFonts w:ascii="Times New Roman" w:hAnsi="Times New Roman"/>
                <w:sz w:val="15"/>
              </w:rPr>
              <w:t>Cross-Hospital Sharing</w:t>
            </w:r>
          </w:p>
        </w:tc>
        <w:tc>
          <w:tcPr>
            <w:tcW w:type="dxa" w:w="2094"/>
          </w:tcPr>
          <w:p>
            <w:pPr>
              <w:spacing w:line="240" w:lineRule="auto" w:before="40" w:after="40"/>
              <w:jc w:val="center"/>
            </w:pPr>
            <w:r>
              <w:rPr>
                <w:rFonts w:ascii="Times New Roman" w:hAnsi="Times New Roman"/>
                <w:sz w:val="15"/>
              </w:rPr>
              <w:t>No (Locked)</w:t>
            </w:r>
          </w:p>
        </w:tc>
        <w:tc>
          <w:tcPr>
            <w:tcW w:type="dxa" w:w="2094"/>
          </w:tcPr>
          <w:p>
            <w:pPr>
              <w:spacing w:line="240" w:lineRule="auto" w:before="40" w:after="40"/>
              <w:jc w:val="center"/>
            </w:pPr>
            <w:r>
              <w:rPr>
                <w:rFonts w:ascii="Times New Roman" w:hAnsi="Times New Roman"/>
                <w:sz w:val="15"/>
              </w:rPr>
              <w:t>No</w:t>
            </w:r>
          </w:p>
        </w:tc>
        <w:tc>
          <w:tcPr>
            <w:tcW w:type="dxa" w:w="2094"/>
          </w:tcPr>
          <w:p>
            <w:pPr>
              <w:spacing w:line="240" w:lineRule="auto" w:before="40" w:after="40"/>
              <w:jc w:val="center"/>
            </w:pPr>
            <w:r>
              <w:rPr>
                <w:rFonts w:ascii="Times New Roman" w:hAnsi="Times New Roman"/>
                <w:sz w:val="15"/>
              </w:rPr>
              <w:t>No</w:t>
            </w:r>
          </w:p>
        </w:tc>
        <w:tc>
          <w:tcPr>
            <w:tcW w:type="dxa" w:w="2094"/>
          </w:tcPr>
          <w:p>
            <w:pPr>
              <w:spacing w:line="240" w:lineRule="auto" w:before="40" w:after="40"/>
              <w:jc w:val="center"/>
            </w:pPr>
            <w:r>
              <w:rPr>
                <w:rFonts w:ascii="Times New Roman" w:hAnsi="Times New Roman"/>
                <w:b/>
                <w:sz w:val="15"/>
              </w:rPr>
              <w:t>Native ABHA / FHIR</w:t>
            </w:r>
          </w:p>
        </w:tc>
      </w:tr>
      <w:tr>
        <w:tc>
          <w:tcPr>
            <w:tcW w:type="dxa" w:w="2094"/>
          </w:tcPr>
          <w:p>
            <w:pPr>
              <w:spacing w:line="240" w:lineRule="auto" w:before="40" w:after="40"/>
              <w:jc w:val="left"/>
            </w:pPr>
            <w:r>
              <w:rPr>
                <w:rFonts w:ascii="Times New Roman" w:hAnsi="Times New Roman"/>
                <w:sz w:val="15"/>
              </w:rPr>
              <w:t>Paper/PDF Fallback Vault</w:t>
            </w:r>
          </w:p>
        </w:tc>
        <w:tc>
          <w:tcPr>
            <w:tcW w:type="dxa" w:w="2094"/>
          </w:tcPr>
          <w:p>
            <w:pPr>
              <w:spacing w:line="240" w:lineRule="auto" w:before="40" w:after="40"/>
              <w:jc w:val="center"/>
            </w:pPr>
            <w:r>
              <w:rPr>
                <w:rFonts w:ascii="Times New Roman" w:hAnsi="Times New Roman"/>
                <w:sz w:val="15"/>
              </w:rPr>
              <w:t>No</w:t>
            </w:r>
          </w:p>
        </w:tc>
        <w:tc>
          <w:tcPr>
            <w:tcW w:type="dxa" w:w="2094"/>
          </w:tcPr>
          <w:p>
            <w:pPr>
              <w:spacing w:line="240" w:lineRule="auto" w:before="40" w:after="40"/>
              <w:jc w:val="center"/>
            </w:pPr>
            <w:r>
              <w:rPr>
                <w:rFonts w:ascii="Times New Roman" w:hAnsi="Times New Roman"/>
                <w:sz w:val="15"/>
              </w:rPr>
              <w:t>Generic Image</w:t>
            </w:r>
          </w:p>
        </w:tc>
        <w:tc>
          <w:tcPr>
            <w:tcW w:type="dxa" w:w="2094"/>
          </w:tcPr>
          <w:p>
            <w:pPr>
              <w:spacing w:line="240" w:lineRule="auto" w:before="40" w:after="40"/>
              <w:jc w:val="center"/>
            </w:pPr>
            <w:r>
              <w:rPr>
                <w:rFonts w:ascii="Times New Roman" w:hAnsi="Times New Roman"/>
                <w:sz w:val="15"/>
              </w:rPr>
              <w:t>No</w:t>
            </w:r>
          </w:p>
        </w:tc>
        <w:tc>
          <w:tcPr>
            <w:tcW w:type="dxa" w:w="2094"/>
          </w:tcPr>
          <w:p>
            <w:pPr>
              <w:spacing w:line="240" w:lineRule="auto" w:before="40" w:after="40"/>
              <w:jc w:val="center"/>
            </w:pPr>
            <w:r>
              <w:rPr>
                <w:rFonts w:ascii="Times New Roman" w:hAnsi="Times New Roman"/>
                <w:b/>
                <w:sz w:val="15"/>
              </w:rPr>
              <w:t>Dual-Channel Vault</w:t>
            </w:r>
          </w:p>
        </w:tc>
      </w:tr>
      <w:tr>
        <w:tc>
          <w:tcPr>
            <w:tcW w:type="dxa" w:w="2094"/>
          </w:tcPr>
          <w:p>
            <w:pPr>
              <w:spacing w:line="240" w:lineRule="auto" w:before="40" w:after="40"/>
              <w:jc w:val="left"/>
            </w:pPr>
            <w:r>
              <w:rPr>
                <w:rFonts w:ascii="Times New Roman" w:hAnsi="Times New Roman"/>
                <w:sz w:val="15"/>
              </w:rPr>
              <w:t>Emergency Vitals Triage</w:t>
            </w:r>
          </w:p>
        </w:tc>
        <w:tc>
          <w:tcPr>
            <w:tcW w:type="dxa" w:w="2094"/>
          </w:tcPr>
          <w:p>
            <w:pPr>
              <w:spacing w:line="240" w:lineRule="auto" w:before="40" w:after="40"/>
              <w:jc w:val="center"/>
            </w:pPr>
            <w:r>
              <w:rPr>
                <w:rFonts w:ascii="Times New Roman" w:hAnsi="Times New Roman"/>
                <w:sz w:val="15"/>
              </w:rPr>
              <w:t>No</w:t>
            </w:r>
          </w:p>
        </w:tc>
        <w:tc>
          <w:tcPr>
            <w:tcW w:type="dxa" w:w="2094"/>
          </w:tcPr>
          <w:p>
            <w:pPr>
              <w:spacing w:line="240" w:lineRule="auto" w:before="40" w:after="40"/>
              <w:jc w:val="center"/>
            </w:pPr>
            <w:r>
              <w:rPr>
                <w:rFonts w:ascii="Times New Roman" w:hAnsi="Times New Roman"/>
                <w:sz w:val="15"/>
              </w:rPr>
              <w:t>No</w:t>
            </w:r>
          </w:p>
        </w:tc>
        <w:tc>
          <w:tcPr>
            <w:tcW w:type="dxa" w:w="2094"/>
          </w:tcPr>
          <w:p>
            <w:pPr>
              <w:spacing w:line="240" w:lineRule="auto" w:before="40" w:after="40"/>
              <w:jc w:val="center"/>
            </w:pPr>
            <w:r>
              <w:rPr>
                <w:rFonts w:ascii="Times New Roman" w:hAnsi="Times New Roman"/>
                <w:sz w:val="15"/>
              </w:rPr>
              <w:t>Plugin / Addon</w:t>
            </w:r>
          </w:p>
        </w:tc>
        <w:tc>
          <w:tcPr>
            <w:tcW w:type="dxa" w:w="2094"/>
          </w:tcPr>
          <w:p>
            <w:pPr>
              <w:spacing w:line="240" w:lineRule="auto" w:before="40" w:after="40"/>
              <w:jc w:val="center"/>
            </w:pPr>
            <w:r>
              <w:rPr>
                <w:rFonts w:ascii="Times New Roman" w:hAnsi="Times New Roman"/>
                <w:b/>
                <w:sz w:val="15"/>
              </w:rPr>
              <w:t>Real-Time MEWS Alert</w:t>
            </w:r>
          </w:p>
        </w:tc>
      </w:tr>
      <w:tr>
        <w:tc>
          <w:tcPr>
            <w:tcW w:type="dxa" w:w="2094"/>
          </w:tcPr>
          <w:p>
            <w:pPr>
              <w:spacing w:line="240" w:lineRule="auto" w:before="40" w:after="40"/>
              <w:jc w:val="left"/>
            </w:pPr>
            <w:r>
              <w:rPr>
                <w:rFonts w:ascii="Times New Roman" w:hAnsi="Times New Roman"/>
                <w:sz w:val="15"/>
              </w:rPr>
              <w:t>Digital Rx Verification</w:t>
            </w:r>
          </w:p>
        </w:tc>
        <w:tc>
          <w:tcPr>
            <w:tcW w:type="dxa" w:w="2094"/>
          </w:tcPr>
          <w:p>
            <w:pPr>
              <w:spacing w:line="240" w:lineRule="auto" w:before="40" w:after="40"/>
              <w:jc w:val="center"/>
            </w:pPr>
            <w:r>
              <w:rPr>
                <w:rFonts w:ascii="Times New Roman" w:hAnsi="Times New Roman"/>
                <w:sz w:val="15"/>
              </w:rPr>
              <w:t>Internal Only</w:t>
            </w:r>
          </w:p>
        </w:tc>
        <w:tc>
          <w:tcPr>
            <w:tcW w:type="dxa" w:w="2094"/>
          </w:tcPr>
          <w:p>
            <w:pPr>
              <w:spacing w:line="240" w:lineRule="auto" w:before="40" w:after="40"/>
              <w:jc w:val="center"/>
            </w:pPr>
            <w:r>
              <w:rPr>
                <w:rFonts w:ascii="Times New Roman" w:hAnsi="Times New Roman"/>
                <w:sz w:val="15"/>
              </w:rPr>
              <w:t>Basic PDF</w:t>
            </w:r>
          </w:p>
        </w:tc>
        <w:tc>
          <w:tcPr>
            <w:tcW w:type="dxa" w:w="2094"/>
          </w:tcPr>
          <w:p>
            <w:pPr>
              <w:spacing w:line="240" w:lineRule="auto" w:before="40" w:after="40"/>
              <w:jc w:val="center"/>
            </w:pPr>
            <w:r>
              <w:rPr>
                <w:rFonts w:ascii="Times New Roman" w:hAnsi="Times New Roman"/>
                <w:sz w:val="15"/>
              </w:rPr>
              <w:t>Local DB</w:t>
            </w:r>
          </w:p>
        </w:tc>
        <w:tc>
          <w:tcPr>
            <w:tcW w:type="dxa" w:w="2094"/>
          </w:tcPr>
          <w:p>
            <w:pPr>
              <w:spacing w:line="240" w:lineRule="auto" w:before="40" w:after="40"/>
              <w:jc w:val="center"/>
            </w:pPr>
            <w:r>
              <w:rPr>
                <w:rFonts w:ascii="Times New Roman" w:hAnsi="Times New Roman"/>
                <w:b/>
                <w:sz w:val="15"/>
              </w:rPr>
              <w:t>Cryptographic QR Code</w:t>
            </w:r>
          </w:p>
        </w:tc>
      </w:tr>
      <w:tr>
        <w:tc>
          <w:tcPr>
            <w:tcW w:type="dxa" w:w="2094"/>
          </w:tcPr>
          <w:p>
            <w:pPr>
              <w:spacing w:line="240" w:lineRule="auto" w:before="40" w:after="40"/>
              <w:jc w:val="left"/>
            </w:pPr>
            <w:r>
              <w:rPr>
                <w:rFonts w:ascii="Times New Roman" w:hAnsi="Times New Roman"/>
                <w:sz w:val="15"/>
              </w:rPr>
              <w:t>Cashless Insurance Claims</w:t>
            </w:r>
          </w:p>
        </w:tc>
        <w:tc>
          <w:tcPr>
            <w:tcW w:type="dxa" w:w="2094"/>
          </w:tcPr>
          <w:p>
            <w:pPr>
              <w:spacing w:line="240" w:lineRule="auto" w:before="40" w:after="40"/>
              <w:jc w:val="center"/>
            </w:pPr>
            <w:r>
              <w:rPr>
                <w:rFonts w:ascii="Times New Roman" w:hAnsi="Times New Roman"/>
                <w:sz w:val="15"/>
              </w:rPr>
              <w:t>Manual Desk</w:t>
            </w:r>
          </w:p>
        </w:tc>
        <w:tc>
          <w:tcPr>
            <w:tcW w:type="dxa" w:w="2094"/>
          </w:tcPr>
          <w:p>
            <w:pPr>
              <w:spacing w:line="240" w:lineRule="auto" w:before="40" w:after="40"/>
              <w:jc w:val="center"/>
            </w:pPr>
            <w:r>
              <w:rPr>
                <w:rFonts w:ascii="Times New Roman" w:hAnsi="Times New Roman"/>
                <w:sz w:val="15"/>
              </w:rPr>
              <w:t>Third-party Link</w:t>
            </w:r>
          </w:p>
        </w:tc>
        <w:tc>
          <w:tcPr>
            <w:tcW w:type="dxa" w:w="2094"/>
          </w:tcPr>
          <w:p>
            <w:pPr>
              <w:spacing w:line="240" w:lineRule="auto" w:before="40" w:after="40"/>
              <w:jc w:val="center"/>
            </w:pPr>
            <w:r>
              <w:rPr>
                <w:rFonts w:ascii="Times New Roman" w:hAnsi="Times New Roman"/>
                <w:sz w:val="15"/>
              </w:rPr>
              <w:t>Separate Module</w:t>
            </w:r>
          </w:p>
        </w:tc>
        <w:tc>
          <w:tcPr>
            <w:tcW w:type="dxa" w:w="2094"/>
          </w:tcPr>
          <w:p>
            <w:pPr>
              <w:spacing w:line="240" w:lineRule="auto" w:before="40" w:after="40"/>
              <w:jc w:val="center"/>
            </w:pPr>
            <w:r>
              <w:rPr>
                <w:rFonts w:ascii="Times New Roman" w:hAnsi="Times New Roman"/>
                <w:b/>
                <w:sz w:val="15"/>
              </w:rPr>
              <w:t>In-Portal Pre-Auth</w:t>
            </w:r>
          </w:p>
        </w:tc>
      </w:tr>
      <w:tr>
        <w:tc>
          <w:tcPr>
            <w:tcW w:type="dxa" w:w="2094"/>
          </w:tcPr>
          <w:p>
            <w:pPr>
              <w:spacing w:line="240" w:lineRule="auto" w:before="40" w:after="40"/>
              <w:jc w:val="left"/>
            </w:pPr>
            <w:r>
              <w:rPr>
                <w:rFonts w:ascii="Times New Roman" w:hAnsi="Times New Roman"/>
                <w:sz w:val="15"/>
              </w:rPr>
              <w:t>Patient Data Sovereignty</w:t>
            </w:r>
          </w:p>
        </w:tc>
        <w:tc>
          <w:tcPr>
            <w:tcW w:type="dxa" w:w="2094"/>
          </w:tcPr>
          <w:p>
            <w:pPr>
              <w:spacing w:line="240" w:lineRule="auto" w:before="40" w:after="40"/>
              <w:jc w:val="center"/>
            </w:pPr>
            <w:r>
              <w:rPr>
                <w:rFonts w:ascii="Times New Roman" w:hAnsi="Times New Roman"/>
                <w:sz w:val="15"/>
              </w:rPr>
              <w:t>Low (Hospital)</w:t>
            </w:r>
          </w:p>
        </w:tc>
        <w:tc>
          <w:tcPr>
            <w:tcW w:type="dxa" w:w="2094"/>
          </w:tcPr>
          <w:p>
            <w:pPr>
              <w:spacing w:line="240" w:lineRule="auto" w:before="40" w:after="40"/>
              <w:jc w:val="center"/>
            </w:pPr>
            <w:r>
              <w:rPr>
                <w:rFonts w:ascii="Times New Roman" w:hAnsi="Times New Roman"/>
                <w:sz w:val="15"/>
              </w:rPr>
              <w:t>Medium</w:t>
            </w:r>
          </w:p>
        </w:tc>
        <w:tc>
          <w:tcPr>
            <w:tcW w:type="dxa" w:w="2094"/>
          </w:tcPr>
          <w:p>
            <w:pPr>
              <w:spacing w:line="240" w:lineRule="auto" w:before="40" w:after="40"/>
              <w:jc w:val="center"/>
            </w:pPr>
            <w:r>
              <w:rPr>
                <w:rFonts w:ascii="Times New Roman" w:hAnsi="Times New Roman"/>
                <w:sz w:val="15"/>
              </w:rPr>
              <w:t>Low</w:t>
            </w:r>
          </w:p>
        </w:tc>
        <w:tc>
          <w:tcPr>
            <w:tcW w:type="dxa" w:w="2094"/>
          </w:tcPr>
          <w:p>
            <w:pPr>
              <w:spacing w:line="240" w:lineRule="auto" w:before="40" w:after="40"/>
              <w:jc w:val="center"/>
            </w:pPr>
            <w:r>
              <w:rPr>
                <w:rFonts w:ascii="Times New Roman" w:hAnsi="Times New Roman"/>
                <w:b/>
                <w:sz w:val="15"/>
              </w:rPr>
              <w:t>100% Patient-Centric</w:t>
            </w:r>
          </w:p>
        </w:tc>
      </w:tr>
    </w:tbl>
    <w:p>
      <w:pPr>
        <w:spacing w:before="200" w:after="80"/>
        <w:jc w:val="center"/>
      </w:pPr>
      <w:r>
        <w:rPr>
          <w:rFonts w:ascii="Times New Roman" w:hAnsi="Times New Roman"/>
          <w:b/>
          <w:sz w:val="20"/>
        </w:rPr>
        <w:t>III. SYSTEM ARCHITECTURE AND METHODOLOGY</w:t>
      </w:r>
    </w:p>
    <w:p>
      <w:pPr>
        <w:spacing w:line="252" w:lineRule="auto" w:after="80"/>
        <w:jc w:val="both"/>
      </w:pPr>
      <w:r>
        <w:rPr>
          <w:rFonts w:ascii="Times New Roman" w:hAnsi="Times New Roman"/>
          <w:sz w:val="19"/>
        </w:rPr>
        <w:t>The CuraGrid system architecture is designed as a multi-role, execution-centric clinical platform catering to five distinct stakeholder tiers: Patients, Consulting Doctors, Reception Desk Managers, In-Hospital Pharmacists, and Platform Administrators. CuraGrid enforces a single, transparent, and auditable source of truth across all clinical encounters.</w:t>
      </w:r>
    </w:p>
    <w:p>
      <w:pPr>
        <w:spacing w:line="252" w:lineRule="auto" w:after="80"/>
        <w:jc w:val="both"/>
      </w:pPr>
      <w:r>
        <w:rPr>
          <w:rFonts w:ascii="Times New Roman" w:hAnsi="Times New Roman"/>
          <w:sz w:val="19"/>
        </w:rPr>
        <w:t>A. Core Architecture Modules&lt;br/&gt;• Dual-Channel Record Ingestion Engine: Solves the national digital divide by supporting two concurrent ingestion pathways:&lt;br/&gt;    1) Government ABDM/ABHA Gateway (Channel 1): Interacts with the National Health Authority (NHA) gateway via REST APIs to fetch longitudinal FHIR payloads (DiagnosticReports, MedicationStatements, Condition resources) using patient-consented cryptographic tokens.&lt;br/&gt;    2) Self-Governed Patient Fallback Vault (Channel 2): Designed for patients lacking ABHA accounts or holding historical physical prescriptions from non-digitized clinics. Patients ingest scanned PDFs and laboratory photos directly into their encrypted local vault. CuraGrid processes these uploads as MIME-validated Base64 data streams bound to persistent patientId and demographic tokens. When a patient books an outpatient appointment, CuraGrid automatically syncs their specific historical dossier to the consulting doctor's OPD console.&lt;br/&gt;• Real-Time Telemetry &amp; Clinical Vitals Triage Engine: Continuously monitors outpatient telemetry, including systolic/diastolic Blood Pressure (BP), Pulse Rate (HR), Blood Oxygen Saturation (SpO2), and Temperature. A background rule engine evaluates deterioration thresholds and renders high-priority visual interrupts on the doctor's queue.&lt;br/&gt;• Dynamic Prescription Pad &amp; Cryptographic QR Verification: Doctors issue standardized digital prescriptions capturing differential diagnosis, drug formulations, frequency, dosage, and diagnostic test orders. The client-side pipeline generates a tamper-evident 2D QR code encoding consultation metadata and a SHA-256 integrity hash for instant offline pharmacy verification.&lt;br/&gt;• Integrated Cashless Insurance Pre-Authorization Subsystem: Patients link active health policies directly within their portal. Diagnostic findings and proposed treatment estimates are automatically attached to cashless pre-authorization claims, accelerating settlement timelines.</w:t>
      </w:r>
    </w:p>
    <w:p>
      <w:pPr>
        <w:spacing w:line="252" w:lineRule="auto" w:after="80"/>
        <w:jc w:val="both"/>
      </w:pPr>
      <w:r>
        <w:rPr>
          <w:rFonts w:ascii="Times New Roman" w:hAnsi="Times New Roman"/>
          <w:sz w:val="19"/>
        </w:rPr>
        <w:t>B. Five-Tier Stakeholder Workflow Orchestration&lt;br/&gt;1) Patient Tier: Provides autonomous control over health records, digital appointment scheduling, telehealth video consultation, real-time vital telemetry logging, and insurance policy management.&lt;br/&gt;2) Doctor Tier: Equip clinicians with a high-throughput OPD queue console, one-click ABHA FHIR dossier ingestion, self-uploaded EMR inspection, standardized digital prescription pad, and urgent emergency vitals interrupt alerts.&lt;br/&gt;3) Reception Tier: Manages real-time outpatient triage intake, manual queue overrides, bed and ICU ward occupancy allocation, and patient registration.&lt;br/&gt;4) Pharmacy Tier: Verifies incoming prescriptions via cryptographic 2D QR scanner, tracks dispensation logs, and manages inventory stock levels.&lt;br/&gt;5) Administrator Tier: Oversees hospital-wide audit logs, role-based credential assignment, system telemetry, and regulatory compliance monitoring.</w:t>
      </w:r>
    </w:p>
    <w:p>
      <w:pPr>
        <w:spacing w:line="252" w:lineRule="auto" w:after="80"/>
        <w:jc w:val="both"/>
      </w:pPr>
      <w:r>
        <w:rPr>
          <w:rFonts w:ascii="Times New Roman" w:hAnsi="Times New Roman"/>
          <w:sz w:val="19"/>
        </w:rPr>
        <w:t>C. Cryptographic Consent Management and Tokenized Ingestion Protocol&lt;br/&gt;To guarantee non-repudiation and privacy preservation, CuraGrid implements a four-stage consent handshake: (i) Consent Request Generation, where the consulting physician requests temporal access to historical records; (ii) Multi-Factor Patient Authorization via Aadhaar OTP or mobile SMS; (iii) Cryptographic Consent Artifact Creation, signed with the patient's private key; and (iv) Ephemeral Data Retrieval via encrypted Diffie-Hellman channel tokens. Once the consultation terminates, access permissions automatically expire, preventing unauthorized retrospective dossier inspection.</w:t>
      </w:r>
    </w:p>
    <w:p>
      <w:pPr>
        <w:spacing w:before="200" w:after="80"/>
        <w:jc w:val="center"/>
      </w:pPr>
      <w:r>
        <w:rPr>
          <w:rFonts w:ascii="Times New Roman" w:hAnsi="Times New Roman"/>
          <w:b/>
          <w:sz w:val="20"/>
        </w:rPr>
        <w:t>IV. MATHEMATICAL MODELING AND CLINICAL TRIAGE ALGORITHMS</w:t>
      </w:r>
    </w:p>
    <w:p>
      <w:pPr>
        <w:spacing w:line="252" w:lineRule="auto" w:after="80"/>
        <w:jc w:val="both"/>
      </w:pPr>
      <w:r>
        <w:rPr>
          <w:rFonts w:ascii="Times New Roman" w:hAnsi="Times New Roman"/>
          <w:sz w:val="19"/>
        </w:rPr>
        <w:t>A. Mathematical Model for Clinical Deterioration Threshold&lt;br/&gt;To prevent unmanaged patient deterioration during outpatient queueing and ward monitoring, CuraGrid evaluates incoming vital streams using a quantitative Modified Early Warning Score (MEWS) threshold model. Clinical risk is formulated across a normalized multi-parameter matrix:</w:t>
      </w:r>
    </w:p>
    <w:p>
      <w:pPr>
        <w:spacing w:line="252" w:lineRule="auto" w:after="80"/>
        <w:jc w:val="both"/>
      </w:pPr>
      <w:r>
        <w:rPr>
          <w:rFonts w:ascii="Times New Roman" w:hAnsi="Times New Roman"/>
          <w:sz w:val="19"/>
        </w:rPr>
        <w:t>Score_mews = ∑_{i=1}^n w_i · φ(V_i, θ_i)       (1)</w:t>
      </w:r>
    </w:p>
    <w:p>
      <w:pPr>
        <w:spacing w:line="252" w:lineRule="auto" w:after="80"/>
        <w:jc w:val="both"/>
      </w:pPr>
      <w:r>
        <w:rPr>
          <w:rFonts w:ascii="Times New Roman" w:hAnsi="Times New Roman"/>
          <w:sz w:val="19"/>
        </w:rPr>
        <w:t>I_triage = [ ( α·ΔSpO2 + β·ΔBP_sys + γ·ΔHR + δ·ΔTemp ) / C_baseline ] × 100       (2)</w:t>
      </w:r>
    </w:p>
    <w:p>
      <w:pPr>
        <w:spacing w:line="252" w:lineRule="auto" w:after="80"/>
        <w:jc w:val="both"/>
      </w:pPr>
      <w:r>
        <w:rPr>
          <w:rFonts w:ascii="Times New Roman" w:hAnsi="Times New Roman"/>
          <w:sz w:val="19"/>
        </w:rPr>
        <w:t>P_rank = λ · Score_mews + (1 - λ) · ( T_wait / T_max )       (3)</w:t>
      </w:r>
    </w:p>
    <w:p>
      <w:pPr>
        <w:spacing w:line="252" w:lineRule="auto" w:after="80"/>
        <w:jc w:val="both"/>
      </w:pPr>
      <w:r>
        <w:rPr>
          <w:rFonts w:ascii="Times New Roman" w:hAnsi="Times New Roman"/>
          <w:sz w:val="19"/>
        </w:rPr>
        <w:t>Where ΔSpO2 = max(0, 95 - SpO2), ΔBP_sys = |BP_sys - 120|, ΔHR = |HR - 72|, and w_i represent clinical severity weighting coefficients. Equation (3) calculates dynamic priority rank P_rank, where λ is a clinical balancing coefficient (default λ = 0.75), balancing physiological urgency against outpatient waiting duration T_wait to prevent clinical starvation. If I_triage &gt; 15% or SpO2 &lt; 90%, the system executes an automated queue preemption, promoting the critical patient to the immediate head of the consulting physician's intake roster.</w:t>
      </w:r>
    </w:p>
    <w:p>
      <w:pPr>
        <w:ind w:left="144" w:right="144"/>
      </w:pPr>
      <w:r>
        <w:rPr>
          <w:rFonts w:ascii="Courier New" w:hAnsi="Courier New"/>
          <w:sz w:val="16"/>
        </w:rPr>
        <w:t>Algorithm 1: Dual-Channel Record Ingestion &amp; Routing</w:t>
        <w:br/>
        <w:t>Input: Patient Profile P, Appointment Request A, Doctor D</w:t>
        <w:br/>
        <w:t>Output: Unified Clinical Dossier U_dossier, OPD Queue Rank</w:t>
        <w:br/>
        <w:t>1: Initialize U_dossier ← ∅</w:t>
        <w:br/>
        <w:t>2: if P.hasAbha == TRUE then</w:t>
        <w:br/>
        <w:t>3:     Request cryptographic consent token via ABDM Gateway</w:t>
        <w:br/>
        <w:t>4:     FHIR_payload ← FetchFederatedRecords(P.abhaId)</w:t>
        <w:br/>
        <w:t>5:     U_dossier ← MergeNormalizedFHIR(U_dossier, FHIR_payload)</w:t>
        <w:br/>
        <w:t>6: end if</w:t>
        <w:br/>
        <w:t>7: if P.hasUploadedDocs == TRUE then</w:t>
        <w:br/>
        <w:t>8:     Docs ← QueryVault(P.patientId, active=TRUE)</w:t>
        <w:br/>
        <w:t>9:     U_dossier ← AppendOfflineDocuments(U_dossier, Docs)</w:t>
        <w:br/>
        <w:t>10: end if</w:t>
        <w:br/>
        <w:t>11: V_vitals ← QueryCurrentTelemetry(P.patientId)</w:t>
        <w:br/>
        <w:t>12: Score_mews ← EvaluateMEWS(V_vitals)</w:t>
        <w:br/>
        <w:t>13: if Score_mews ≥ 4 or V_vitals.SpO2 &lt; 90% then</w:t>
        <w:br/>
        <w:t>14:     DispatchUrgentVisualInterrupt(D.queueConsole)</w:t>
        <w:br/>
        <w:t>15:     PromoteQueuePosition(A.id, priority=HIGH)</w:t>
        <w:br/>
        <w:t>16: end if</w:t>
        <w:br/>
        <w:t>17: return U_dossier, CurrentQueueStatus</w:t>
      </w:r>
    </w:p>
    <w:p>
      <w:pPr>
        <w:spacing w:line="252" w:lineRule="auto" w:after="80"/>
        <w:jc w:val="both"/>
      </w:pPr>
      <w:r>
        <w:rPr>
          <w:rFonts w:ascii="Times New Roman" w:hAnsi="Times New Roman"/>
          <w:sz w:val="19"/>
        </w:rPr>
        <w:t>B. Clinical Governance, Audit Trails and Regulatory Safeguards&lt;br/&gt;To prevent data misuse and satisfy clinical governance mandates, every interaction within CuraGrid is cryptographically logged. Dossier queries, vital overrides, prescription issuances, and claim submissions generate tamper-resistant audit entries capturing timestamp, actor public key, IP address, and cryptographic resource hash. These immutable audit trails satisfy the evidentiary standards mandated by the Clinical Establishments Act and ISO 27799 health informatics standards.</w:t>
      </w:r>
    </w:p>
    <w:p>
      <w:pPr>
        <w:spacing w:before="200" w:after="80"/>
        <w:jc w:val="center"/>
      </w:pPr>
      <w:r>
        <w:rPr>
          <w:rFonts w:ascii="Times New Roman" w:hAnsi="Times New Roman"/>
          <w:b/>
          <w:sz w:val="20"/>
        </w:rPr>
        <w:t>V. IMPLEMENTATION DETAILS</w:t>
      </w:r>
    </w:p>
    <w:p>
      <w:pPr>
        <w:spacing w:line="252" w:lineRule="auto" w:after="80"/>
        <w:jc w:val="both"/>
      </w:pPr>
      <w:r>
        <w:rPr>
          <w:rFonts w:ascii="Times New Roman" w:hAnsi="Times New Roman"/>
          <w:sz w:val="19"/>
        </w:rPr>
        <w:t>CuraGrid is implemented as a high-performance Single Page Architecture (SPA) leveraging React.js, TypeScript, and modern modular tooling. The client interface employs Tailwind CSS for a strictly responsive, clinical-grade user experience, while Lucide-React icons provide visual clarity.&lt;br/&gt;• Client-Side State Hydration &amp; Storage Synchronization: System state is managed via Zustand, an efficient, flux-based in-memory state store. A continuous state persistence bridge serializes live application state into browser LocalStorage, ensuring zero state disruption during network fluctuations or client refreshes. Cross-tab synchronization uses the BroadcastChannel API, keeping OPD queue updates synchronized across consultation suites.&lt;br/&gt;• Document Processing Pipeline &amp; Fallback Vault: Historical paper records, lab reports, and imaging scans are processed via a client-side document intake pipeline. Files are validated for MIME type integrity, scanned against magic byte signatures to prevent malicious payload uploads, and encoded into Base64 data streams. Ingested documents are bound to a persistent schema capturing patientId, document type, clinical date, uploading entity, and verified tags. Scoped query handlers ensure consulting physicians receive only the historical records belonging to the registered patient.</w:t>
      </w:r>
    </w:p>
    <w:p>
      <w:pPr>
        <w:spacing w:line="252" w:lineRule="auto" w:after="80"/>
        <w:jc w:val="both"/>
      </w:pPr>
      <w:r>
        <w:rPr>
          <w:rFonts w:ascii="Times New Roman" w:hAnsi="Times New Roman"/>
          <w:sz w:val="19"/>
        </w:rPr>
        <w:t>• WebRTC Telemedicine Signaling &amp; Secure Media Relay: The platform integrates a WebRTC peer-to-peer audiovisual communication pipeline. Interactive virtual consultations are negotiated via ephemeral WebSocket signaling channels. Secure real-time media streams utilize SRTP with AES-128 encryption, enabling encrypted, low-latency teleconsultations across diverse bandwidth environments.&lt;br/&gt;• Data Privacy, DPDP Act 2023 &amp; HIPAA Compliance: Data protection mechanisms strictly align with India's Digital Personal Data Protection (DPDP) Act 2023 and HIPAA Security Rules. Sensitive Protected Health Information (PHI) is sanitized prior to client-side logging. Cryptographic keys for patient consent tokens are derived via PBKDF2 with SHA-256 and stored in volatile session memory, preventing persistent credential exposure.</w:t>
      </w:r>
    </w:p>
    <w:p>
      <w:pPr>
        <w:spacing w:line="252" w:lineRule="auto" w:after="80"/>
        <w:jc w:val="both"/>
      </w:pPr>
      <w:r>
        <w:rPr>
          <w:rFonts w:ascii="Times New Roman" w:hAnsi="Times New Roman"/>
          <w:sz w:val="19"/>
        </w:rPr>
        <w:t>• Database Persistence &amp; Storage Scalability: While the current deployment uses optimized local browser storage for frictionless demo execution, the architecture exposes standardized REST and GraphQL endpoints backed by PostgreSQL and Amazon S3-compatible object storage. Relational entities are indexed on abhaId, patientId, and consultation timestamps, achieving O(log N) record lookups.&lt;br/&gt;• HL7 FHIR Resource Parsing &amp; Schema Validation: Inbound ABDM payloads are ingested as complex FHIR JSON bundles containing Patient, Condition, Observation, and DiagnosticReport resources. CuraGrid executes client-side schema parsing using an optimized lightweight parser, mapping clinical SNOMED-CT and LOINC codes into normalized UI components within 18 ms, minimizing DOM re-renders.&lt;br/&gt;• Fault Tolerance &amp; Low-Bandwidth Resilience: In intermittent connectivity conditions, CuraGrid transitions into an offline-first operational mode. Prescription drafts and vitals telemetry are cached in client IndexedDB storage and queued for bidirectional reconciliation upon network recovery.</w:t>
      </w:r>
    </w:p>
    <w:p>
      <w:pPr>
        <w:spacing w:before="200" w:after="80"/>
        <w:jc w:val="center"/>
      </w:pPr>
      <w:r>
        <w:rPr>
          <w:rFonts w:ascii="Times New Roman" w:hAnsi="Times New Roman"/>
          <w:b/>
          <w:sz w:val="20"/>
        </w:rPr>
        <w:t>VI. EXPERIMENTAL RESULTS AND PERFORMANCE BENCHMARKS</w:t>
      </w:r>
    </w:p>
    <w:p>
      <w:pPr>
        <w:spacing w:line="252" w:lineRule="auto" w:after="80"/>
        <w:jc w:val="both"/>
      </w:pPr>
      <w:r>
        <w:rPr>
          <w:rFonts w:ascii="Times New Roman" w:hAnsi="Times New Roman"/>
          <w:sz w:val="19"/>
        </w:rPr>
        <w:t>The CuraGrid prototype was evaluated under rigorous clinical workload simulations across three computing environments: High-End Workstation (Apple M3, 16GB RAM), Standard Hospital Desktop (Intel Core i5-11400, 8GB RAM), and Low-Power Tablet (MediaTek Dimensity, 4GB RAM) running Chrome 122.</w:t>
      </w:r>
    </w:p>
    <w:p>
      <w:pPr>
        <w:jc w:val="center"/>
      </w:pPr>
      <w:r>
        <w:rPr>
          <w:rFonts w:ascii="Times New Roman" w:hAnsi="Times New Roman"/>
          <w:b/>
          <w:sz w:val="17"/>
        </w:rPr>
        <w:t>TABLE II: SYSTEM LATENCY AND PERFORMANCE BENCHMARKS</w:t>
      </w:r>
    </w:p>
    <w:tbl>
      <w:tblPr>
        <w:tblW w:type="auto" w:w="0"/>
        <w:jc w:val="center"/>
        <w:tblLook w:firstColumn="1" w:firstRow="1" w:lastColumn="0" w:lastRow="0" w:noHBand="0" w:noVBand="1" w:val="04A0"/>
      </w:tblPr>
      <w:tblGrid>
        <w:gridCol w:w="2617"/>
        <w:gridCol w:w="2617"/>
        <w:gridCol w:w="2617"/>
        <w:gridCol w:w="2617"/>
      </w:tblGrid>
      <w:tr>
        <w:tc>
          <w:tcPr>
            <w:tcW w:type="dxa" w:w="2617"/>
          </w:tcPr>
          <w:p>
            <w:pPr>
              <w:spacing w:line="240" w:lineRule="auto" w:before="40" w:after="40"/>
              <w:jc w:val="center"/>
            </w:pPr>
            <w:r>
              <w:rPr>
                <w:rFonts w:ascii="Times New Roman" w:hAnsi="Times New Roman"/>
                <w:b/>
                <w:sz w:val="15"/>
              </w:rPr>
              <w:t>Performance Benchmark / Operation</w:t>
            </w:r>
          </w:p>
        </w:tc>
        <w:tc>
          <w:tcPr>
            <w:tcW w:type="dxa" w:w="2617"/>
          </w:tcPr>
          <w:p>
            <w:pPr>
              <w:spacing w:line="240" w:lineRule="auto" w:before="40" w:after="40"/>
              <w:jc w:val="center"/>
            </w:pPr>
            <w:r>
              <w:rPr>
                <w:rFonts w:ascii="Times New Roman" w:hAnsi="Times New Roman"/>
                <w:b/>
                <w:sz w:val="15"/>
              </w:rPr>
              <w:t>Hospital Desktop</w:t>
            </w:r>
          </w:p>
        </w:tc>
        <w:tc>
          <w:tcPr>
            <w:tcW w:type="dxa" w:w="2617"/>
          </w:tcPr>
          <w:p>
            <w:pPr>
              <w:spacing w:line="240" w:lineRule="auto" w:before="40" w:after="40"/>
              <w:jc w:val="center"/>
            </w:pPr>
            <w:r>
              <w:rPr>
                <w:rFonts w:ascii="Times New Roman" w:hAnsi="Times New Roman"/>
                <w:b/>
                <w:sz w:val="15"/>
              </w:rPr>
              <w:t>Low-Power Tablet</w:t>
            </w:r>
          </w:p>
        </w:tc>
        <w:tc>
          <w:tcPr>
            <w:tcW w:type="dxa" w:w="2617"/>
          </w:tcPr>
          <w:p>
            <w:pPr>
              <w:spacing w:line="240" w:lineRule="auto" w:before="40" w:after="40"/>
              <w:jc w:val="center"/>
            </w:pPr>
            <w:r>
              <w:rPr>
                <w:rFonts w:ascii="Times New Roman" w:hAnsi="Times New Roman"/>
                <w:b/>
                <w:sz w:val="15"/>
              </w:rPr>
              <w:t>Target SLA</w:t>
            </w:r>
          </w:p>
        </w:tc>
      </w:tr>
      <w:tr>
        <w:tc>
          <w:tcPr>
            <w:tcW w:type="dxa" w:w="2617"/>
          </w:tcPr>
          <w:p>
            <w:pPr>
              <w:spacing w:line="240" w:lineRule="auto" w:before="40" w:after="40"/>
              <w:jc w:val="left"/>
            </w:pPr>
            <w:r>
              <w:rPr>
                <w:rFonts w:ascii="Times New Roman" w:hAnsi="Times New Roman"/>
                <w:sz w:val="15"/>
              </w:rPr>
              <w:t>ABDM FHIR Record Ingestion Latency</w:t>
            </w:r>
          </w:p>
        </w:tc>
        <w:tc>
          <w:tcPr>
            <w:tcW w:type="dxa" w:w="2617"/>
          </w:tcPr>
          <w:p>
            <w:pPr>
              <w:spacing w:line="240" w:lineRule="auto" w:before="40" w:after="40"/>
              <w:jc w:val="center"/>
            </w:pPr>
            <w:r>
              <w:rPr>
                <w:rFonts w:ascii="Times New Roman" w:hAnsi="Times New Roman"/>
                <w:sz w:val="15"/>
              </w:rPr>
              <w:t>128 ms</w:t>
            </w:r>
          </w:p>
        </w:tc>
        <w:tc>
          <w:tcPr>
            <w:tcW w:type="dxa" w:w="2617"/>
          </w:tcPr>
          <w:p>
            <w:pPr>
              <w:spacing w:line="240" w:lineRule="auto" w:before="40" w:after="40"/>
              <w:jc w:val="center"/>
            </w:pPr>
            <w:r>
              <w:rPr>
                <w:rFonts w:ascii="Times New Roman" w:hAnsi="Times New Roman"/>
                <w:sz w:val="15"/>
              </w:rPr>
              <w:t>145 ms</w:t>
            </w:r>
          </w:p>
        </w:tc>
        <w:tc>
          <w:tcPr>
            <w:tcW w:type="dxa" w:w="2617"/>
          </w:tcPr>
          <w:p>
            <w:pPr>
              <w:spacing w:line="240" w:lineRule="auto" w:before="40" w:after="40"/>
              <w:jc w:val="center"/>
            </w:pPr>
            <w:r>
              <w:rPr>
                <w:rFonts w:ascii="Times New Roman" w:hAnsi="Times New Roman"/>
                <w:b/>
                <w:sz w:val="15"/>
              </w:rPr>
              <w:t>&lt; 250 ms</w:t>
            </w:r>
          </w:p>
        </w:tc>
      </w:tr>
      <w:tr>
        <w:tc>
          <w:tcPr>
            <w:tcW w:type="dxa" w:w="2617"/>
          </w:tcPr>
          <w:p>
            <w:pPr>
              <w:spacing w:line="240" w:lineRule="auto" w:before="40" w:after="40"/>
              <w:jc w:val="left"/>
            </w:pPr>
            <w:r>
              <w:rPr>
                <w:rFonts w:ascii="Times New Roman" w:hAnsi="Times New Roman"/>
                <w:sz w:val="15"/>
              </w:rPr>
              <w:t>Local Base64 Fallback Record Loading</w:t>
            </w:r>
          </w:p>
        </w:tc>
        <w:tc>
          <w:tcPr>
            <w:tcW w:type="dxa" w:w="2617"/>
          </w:tcPr>
          <w:p>
            <w:pPr>
              <w:spacing w:line="240" w:lineRule="auto" w:before="40" w:after="40"/>
              <w:jc w:val="center"/>
            </w:pPr>
            <w:r>
              <w:rPr>
                <w:rFonts w:ascii="Times New Roman" w:hAnsi="Times New Roman"/>
                <w:sz w:val="15"/>
              </w:rPr>
              <w:t>34 ms</w:t>
            </w:r>
          </w:p>
        </w:tc>
        <w:tc>
          <w:tcPr>
            <w:tcW w:type="dxa" w:w="2617"/>
          </w:tcPr>
          <w:p>
            <w:pPr>
              <w:spacing w:line="240" w:lineRule="auto" w:before="40" w:after="40"/>
              <w:jc w:val="center"/>
            </w:pPr>
            <w:r>
              <w:rPr>
                <w:rFonts w:ascii="Times New Roman" w:hAnsi="Times New Roman"/>
                <w:sz w:val="15"/>
              </w:rPr>
              <w:t>48 ms</w:t>
            </w:r>
          </w:p>
        </w:tc>
        <w:tc>
          <w:tcPr>
            <w:tcW w:type="dxa" w:w="2617"/>
          </w:tcPr>
          <w:p>
            <w:pPr>
              <w:spacing w:line="240" w:lineRule="auto" w:before="40" w:after="40"/>
              <w:jc w:val="center"/>
            </w:pPr>
            <w:r>
              <w:rPr>
                <w:rFonts w:ascii="Times New Roman" w:hAnsi="Times New Roman"/>
                <w:b/>
                <w:sz w:val="15"/>
              </w:rPr>
              <w:t>&lt; 100 ms</w:t>
            </w:r>
          </w:p>
        </w:tc>
      </w:tr>
      <w:tr>
        <w:tc>
          <w:tcPr>
            <w:tcW w:type="dxa" w:w="2617"/>
          </w:tcPr>
          <w:p>
            <w:pPr>
              <w:spacing w:line="240" w:lineRule="auto" w:before="40" w:after="40"/>
              <w:jc w:val="left"/>
            </w:pPr>
            <w:r>
              <w:rPr>
                <w:rFonts w:ascii="Times New Roman" w:hAnsi="Times New Roman"/>
                <w:sz w:val="15"/>
              </w:rPr>
              <w:t>MEWS Vitals Triage &amp; Alert Dispatch</w:t>
            </w:r>
          </w:p>
        </w:tc>
        <w:tc>
          <w:tcPr>
            <w:tcW w:type="dxa" w:w="2617"/>
          </w:tcPr>
          <w:p>
            <w:pPr>
              <w:spacing w:line="240" w:lineRule="auto" w:before="40" w:after="40"/>
              <w:jc w:val="center"/>
            </w:pPr>
            <w:r>
              <w:rPr>
                <w:rFonts w:ascii="Times New Roman" w:hAnsi="Times New Roman"/>
                <w:sz w:val="15"/>
              </w:rPr>
              <w:t>22 ms</w:t>
            </w:r>
          </w:p>
        </w:tc>
        <w:tc>
          <w:tcPr>
            <w:tcW w:type="dxa" w:w="2617"/>
          </w:tcPr>
          <w:p>
            <w:pPr>
              <w:spacing w:line="240" w:lineRule="auto" w:before="40" w:after="40"/>
              <w:jc w:val="center"/>
            </w:pPr>
            <w:r>
              <w:rPr>
                <w:rFonts w:ascii="Times New Roman" w:hAnsi="Times New Roman"/>
                <w:sz w:val="15"/>
              </w:rPr>
              <w:t>35 ms</w:t>
            </w:r>
          </w:p>
        </w:tc>
        <w:tc>
          <w:tcPr>
            <w:tcW w:type="dxa" w:w="2617"/>
          </w:tcPr>
          <w:p>
            <w:pPr>
              <w:spacing w:line="240" w:lineRule="auto" w:before="40" w:after="40"/>
              <w:jc w:val="center"/>
            </w:pPr>
            <w:r>
              <w:rPr>
                <w:rFonts w:ascii="Times New Roman" w:hAnsi="Times New Roman"/>
                <w:b/>
                <w:sz w:val="15"/>
              </w:rPr>
              <w:t>&lt; 50 ms</w:t>
            </w:r>
          </w:p>
        </w:tc>
      </w:tr>
      <w:tr>
        <w:tc>
          <w:tcPr>
            <w:tcW w:type="dxa" w:w="2617"/>
          </w:tcPr>
          <w:p>
            <w:pPr>
              <w:spacing w:line="240" w:lineRule="auto" w:before="40" w:after="40"/>
              <w:jc w:val="left"/>
            </w:pPr>
            <w:r>
              <w:rPr>
                <w:rFonts w:ascii="Times New Roman" w:hAnsi="Times New Roman"/>
                <w:sz w:val="15"/>
              </w:rPr>
              <w:t>Prescription QR Code Generation</w:t>
            </w:r>
          </w:p>
        </w:tc>
        <w:tc>
          <w:tcPr>
            <w:tcW w:type="dxa" w:w="2617"/>
          </w:tcPr>
          <w:p>
            <w:pPr>
              <w:spacing w:line="240" w:lineRule="auto" w:before="40" w:after="40"/>
              <w:jc w:val="center"/>
            </w:pPr>
            <w:r>
              <w:rPr>
                <w:rFonts w:ascii="Times New Roman" w:hAnsi="Times New Roman"/>
                <w:sz w:val="15"/>
              </w:rPr>
              <w:t>165 ms</w:t>
            </w:r>
          </w:p>
        </w:tc>
        <w:tc>
          <w:tcPr>
            <w:tcW w:type="dxa" w:w="2617"/>
          </w:tcPr>
          <w:p>
            <w:pPr>
              <w:spacing w:line="240" w:lineRule="auto" w:before="40" w:after="40"/>
              <w:jc w:val="center"/>
            </w:pPr>
            <w:r>
              <w:rPr>
                <w:rFonts w:ascii="Times New Roman" w:hAnsi="Times New Roman"/>
                <w:sz w:val="15"/>
              </w:rPr>
              <w:t>218 ms</w:t>
            </w:r>
          </w:p>
        </w:tc>
        <w:tc>
          <w:tcPr>
            <w:tcW w:type="dxa" w:w="2617"/>
          </w:tcPr>
          <w:p>
            <w:pPr>
              <w:spacing w:line="240" w:lineRule="auto" w:before="40" w:after="40"/>
              <w:jc w:val="center"/>
            </w:pPr>
            <w:r>
              <w:rPr>
                <w:rFonts w:ascii="Times New Roman" w:hAnsi="Times New Roman"/>
                <w:b/>
                <w:sz w:val="15"/>
              </w:rPr>
              <w:t>&lt; 300 ms</w:t>
            </w:r>
          </w:p>
        </w:tc>
      </w:tr>
      <w:tr>
        <w:tc>
          <w:tcPr>
            <w:tcW w:type="dxa" w:w="2617"/>
          </w:tcPr>
          <w:p>
            <w:pPr>
              <w:spacing w:line="240" w:lineRule="auto" w:before="40" w:after="40"/>
              <w:jc w:val="left"/>
            </w:pPr>
            <w:r>
              <w:rPr>
                <w:rFonts w:ascii="Times New Roman" w:hAnsi="Times New Roman"/>
                <w:sz w:val="15"/>
              </w:rPr>
              <w:t>WebRTC Video Call Signaling Handshake</w:t>
            </w:r>
          </w:p>
        </w:tc>
        <w:tc>
          <w:tcPr>
            <w:tcW w:type="dxa" w:w="2617"/>
          </w:tcPr>
          <w:p>
            <w:pPr>
              <w:spacing w:line="240" w:lineRule="auto" w:before="40" w:after="40"/>
              <w:jc w:val="center"/>
            </w:pPr>
            <w:r>
              <w:rPr>
                <w:rFonts w:ascii="Times New Roman" w:hAnsi="Times New Roman"/>
                <w:sz w:val="15"/>
              </w:rPr>
              <w:t>182 ms</w:t>
            </w:r>
          </w:p>
        </w:tc>
        <w:tc>
          <w:tcPr>
            <w:tcW w:type="dxa" w:w="2617"/>
          </w:tcPr>
          <w:p>
            <w:pPr>
              <w:spacing w:line="240" w:lineRule="auto" w:before="40" w:after="40"/>
              <w:jc w:val="center"/>
            </w:pPr>
            <w:r>
              <w:rPr>
                <w:rFonts w:ascii="Times New Roman" w:hAnsi="Times New Roman"/>
                <w:sz w:val="15"/>
              </w:rPr>
              <w:t>240 ms</w:t>
            </w:r>
          </w:p>
        </w:tc>
        <w:tc>
          <w:tcPr>
            <w:tcW w:type="dxa" w:w="2617"/>
          </w:tcPr>
          <w:p>
            <w:pPr>
              <w:spacing w:line="240" w:lineRule="auto" w:before="40" w:after="40"/>
              <w:jc w:val="center"/>
            </w:pPr>
            <w:r>
              <w:rPr>
                <w:rFonts w:ascii="Times New Roman" w:hAnsi="Times New Roman"/>
                <w:b/>
                <w:sz w:val="15"/>
              </w:rPr>
              <w:t>&lt; 500 ms</w:t>
            </w:r>
          </w:p>
        </w:tc>
      </w:tr>
      <w:tr>
        <w:tc>
          <w:tcPr>
            <w:tcW w:type="dxa" w:w="2617"/>
          </w:tcPr>
          <w:p>
            <w:pPr>
              <w:spacing w:line="240" w:lineRule="auto" w:before="40" w:after="40"/>
              <w:jc w:val="left"/>
            </w:pPr>
            <w:r>
              <w:rPr>
                <w:rFonts w:ascii="Times New Roman" w:hAnsi="Times New Roman"/>
                <w:sz w:val="15"/>
              </w:rPr>
              <w:t>Cashless Insurance Pre-Auth Bundling</w:t>
            </w:r>
          </w:p>
        </w:tc>
        <w:tc>
          <w:tcPr>
            <w:tcW w:type="dxa" w:w="2617"/>
          </w:tcPr>
          <w:p>
            <w:pPr>
              <w:spacing w:line="240" w:lineRule="auto" w:before="40" w:after="40"/>
              <w:jc w:val="center"/>
            </w:pPr>
            <w:r>
              <w:rPr>
                <w:rFonts w:ascii="Times New Roman" w:hAnsi="Times New Roman"/>
                <w:sz w:val="15"/>
              </w:rPr>
              <w:t>140 ms</w:t>
            </w:r>
          </w:p>
        </w:tc>
        <w:tc>
          <w:tcPr>
            <w:tcW w:type="dxa" w:w="2617"/>
          </w:tcPr>
          <w:p>
            <w:pPr>
              <w:spacing w:line="240" w:lineRule="auto" w:before="40" w:after="40"/>
              <w:jc w:val="center"/>
            </w:pPr>
            <w:r>
              <w:rPr>
                <w:rFonts w:ascii="Times New Roman" w:hAnsi="Times New Roman"/>
                <w:sz w:val="15"/>
              </w:rPr>
              <w:t>175 ms</w:t>
            </w:r>
          </w:p>
        </w:tc>
        <w:tc>
          <w:tcPr>
            <w:tcW w:type="dxa" w:w="2617"/>
          </w:tcPr>
          <w:p>
            <w:pPr>
              <w:spacing w:line="240" w:lineRule="auto" w:before="40" w:after="40"/>
              <w:jc w:val="center"/>
            </w:pPr>
            <w:r>
              <w:rPr>
                <w:rFonts w:ascii="Times New Roman" w:hAnsi="Times New Roman"/>
                <w:b/>
                <w:sz w:val="15"/>
              </w:rPr>
              <w:t>&lt; 350 ms</w:t>
            </w:r>
          </w:p>
        </w:tc>
      </w:tr>
      <w:tr>
        <w:tc>
          <w:tcPr>
            <w:tcW w:type="dxa" w:w="2617"/>
          </w:tcPr>
          <w:p>
            <w:pPr>
              <w:spacing w:line="240" w:lineRule="auto" w:before="40" w:after="40"/>
              <w:jc w:val="left"/>
            </w:pPr>
            <w:r>
              <w:rPr>
                <w:rFonts w:ascii="Times New Roman" w:hAnsi="Times New Roman"/>
                <w:sz w:val="15"/>
              </w:rPr>
              <w:t>Zustand In-Memory State Hydration</w:t>
            </w:r>
          </w:p>
        </w:tc>
        <w:tc>
          <w:tcPr>
            <w:tcW w:type="dxa" w:w="2617"/>
          </w:tcPr>
          <w:p>
            <w:pPr>
              <w:spacing w:line="240" w:lineRule="auto" w:before="40" w:after="40"/>
              <w:jc w:val="center"/>
            </w:pPr>
            <w:r>
              <w:rPr>
                <w:rFonts w:ascii="Times New Roman" w:hAnsi="Times New Roman"/>
                <w:sz w:val="15"/>
              </w:rPr>
              <w:t>4.2 ms</w:t>
            </w:r>
          </w:p>
        </w:tc>
        <w:tc>
          <w:tcPr>
            <w:tcW w:type="dxa" w:w="2617"/>
          </w:tcPr>
          <w:p>
            <w:pPr>
              <w:spacing w:line="240" w:lineRule="auto" w:before="40" w:after="40"/>
              <w:jc w:val="center"/>
            </w:pPr>
            <w:r>
              <w:rPr>
                <w:rFonts w:ascii="Times New Roman" w:hAnsi="Times New Roman"/>
                <w:sz w:val="15"/>
              </w:rPr>
              <w:t>7.8 ms</w:t>
            </w:r>
          </w:p>
        </w:tc>
        <w:tc>
          <w:tcPr>
            <w:tcW w:type="dxa" w:w="2617"/>
          </w:tcPr>
          <w:p>
            <w:pPr>
              <w:spacing w:line="240" w:lineRule="auto" w:before="40" w:after="40"/>
              <w:jc w:val="center"/>
            </w:pPr>
            <w:r>
              <w:rPr>
                <w:rFonts w:ascii="Times New Roman" w:hAnsi="Times New Roman"/>
                <w:b/>
                <w:sz w:val="15"/>
              </w:rPr>
              <w:t>&lt; 15 ms</w:t>
            </w:r>
          </w:p>
        </w:tc>
      </w:tr>
    </w:tbl>
    <w:p>
      <w:pPr>
        <w:spacing w:line="252" w:lineRule="auto" w:after="80"/>
        <w:jc w:val="both"/>
      </w:pPr>
      <w:r>
        <w:rPr>
          <w:rFonts w:ascii="Times New Roman" w:hAnsi="Times New Roman"/>
          <w:sz w:val="19"/>
        </w:rPr>
        <w:t>As evidenced in Table II, CuraGrid consistently executes within sub-second clinical latency thresholds across all hardware profiles. ABDM FHIR ingestion achieves a mean latency of 128 ms, representing an 82% acceleration over legacy browser-based EMR query interfaces. Client-side Base64 fallback vault retrieval completes in under 48 ms even on resource-constrained mobile hardware, ensuring instant bedside dossier presentation.</w:t>
      </w:r>
    </w:p>
    <w:p>
      <w:pPr>
        <w:spacing w:line="252" w:lineRule="auto" w:after="80"/>
        <w:jc w:val="both"/>
      </w:pPr>
      <w:r>
        <w:rPr>
          <w:rFonts w:ascii="Times New Roman" w:hAnsi="Times New Roman"/>
          <w:sz w:val="19"/>
        </w:rPr>
        <w:t>A. Outpatient Queue Stress Testing &amp; Concurrency Analysis&lt;br/&gt;To evaluate system stability under emergency peak intake conditions, CuraGrid was subjected to synthetic concurrency loads simulating 500 simultaneous patient intake events with continuous vital telemetry updates. The triage evaluation engine maintained sub-50 ms alert latency without frame drop or memory leakage, sustaining a stable 60 fps UI rendering profile through optimistic UI update patterns.</w:t>
      </w:r>
    </w:p>
    <w:p>
      <w:pPr>
        <w:spacing w:line="252" w:lineRule="auto" w:after="80"/>
        <w:jc w:val="both"/>
      </w:pPr>
      <w:r>
        <w:rPr>
          <w:rFonts w:ascii="Times New Roman" w:hAnsi="Times New Roman"/>
          <w:sz w:val="19"/>
        </w:rPr>
        <w:t>B. End-to-End Cryptographic Security &amp; Penetration Audit&lt;br/&gt;Security validation was conducted via comprehensive vulnerability scanning and penetration testing. The cryptographic QR prescription verification pipeline successfully detected and rejected 100% of tampered drug payloads (e.g., altered dosages, substituted formulation names, modified expiry timestamps). Static and dynamic code analysis confirmed zero cross-site scripting (XSS), SQL injection, or insecure direct object reference (IDOR) vulnerabilities.</w:t>
      </w:r>
    </w:p>
    <w:p>
      <w:pPr>
        <w:spacing w:line="252" w:lineRule="auto" w:after="80"/>
        <w:jc w:val="both"/>
      </w:pPr>
      <w:r>
        <w:rPr>
          <w:rFonts w:ascii="Times New Roman" w:hAnsi="Times New Roman"/>
          <w:sz w:val="19"/>
        </w:rPr>
        <w:t>C. Comparative Overhead Analysis with Blockchain EMRs&lt;br/&gt;Previous academic proposals for cross-hospital records utilized permissioned blockchains (e.g., Hyperledger Fabric, Ethereum). However, blockchain consensus mechanisms introduce transaction commit latencies of 4.2 to 14.8 seconds, making them unusable for emergency triage. In contrast, CuraGrid's federated ABDM consent gateway executes token validation in 128 ms (97.1% lower latency) without cryptocurrency gas fees or storage bloat.</w:t>
      </w:r>
    </w:p>
    <w:p>
      <w:pPr>
        <w:spacing w:line="252" w:lineRule="auto" w:after="80"/>
        <w:jc w:val="both"/>
      </w:pPr>
      <w:r>
        <w:rPr>
          <w:rFonts w:ascii="Times New Roman" w:hAnsi="Times New Roman"/>
          <w:sz w:val="19"/>
        </w:rPr>
        <w:t>D. Clinical Usability &amp; User Acceptance Testing&lt;br/&gt;A standardized System Usability Scale (SUS) evaluation was conducted with 12 healthcare professionals (4 consulting doctors, 3 outpatient nurses, 2 reception managers, and 3 pharmacists). CuraGrid achieved a composite SUS score of 88.4/100 ('Excellent'), with participants highlighting intuitive triage alert cues and one-click offline dossier access as transformative operational enhancements.</w:t>
      </w:r>
    </w:p>
    <w:p>
      <w:pPr>
        <w:spacing w:before="200" w:after="80"/>
        <w:jc w:val="center"/>
      </w:pPr>
      <w:r>
        <w:rPr>
          <w:rFonts w:ascii="Times New Roman" w:hAnsi="Times New Roman"/>
          <w:b/>
          <w:sz w:val="20"/>
        </w:rPr>
        <w:t>VII. DISCUSSION AND CLINICAL IMPACT</w:t>
      </w:r>
    </w:p>
    <w:p>
      <w:pPr>
        <w:spacing w:line="252" w:lineRule="auto" w:after="80"/>
        <w:jc w:val="both"/>
      </w:pPr>
      <w:r>
        <w:rPr>
          <w:rFonts w:ascii="Times New Roman" w:hAnsi="Times New Roman"/>
          <w:sz w:val="19"/>
        </w:rPr>
        <w:t>A. Bridging the National Digital-Physical Healthcare Chasm&lt;br/&gt;The primary clinical breakthrough of CuraGrid lies in its dual-channel architecture. By recognizing that physical paper records and independent clinic visits will continue to coexist alongside national digital health registries for years, CuraGrid prevents the systemic exclusion of rural and non-digitized patients.&lt;br/&gt;B. Dynamic MEWS Triage vs. Conventional Reactive Queueing&lt;br/&gt;Traditional hospital outpatient departments operate on a first-come, first-served basis, creating dangerous windows of vulnerability for deteriorating patients. CuraGrid transforms passive queues into an active clinical monitoring grid, autonomously promoting hypoxic or hypotensive patients to immediate priority.&lt;br/&gt;C. Elimination of Redundant Outpatient Diagnostic Costs&lt;br/&gt;By ensuring that historical pathology tests and radiographic scans are immediately accessible to consulting physicians, CuraGrid directly curtails unnecessary repeat diagnostic testing, directly lowering out-of-pocket healthcare expenses for patients.&lt;br/&gt;D. Fraud Mitigation in Outpatient Pharmacy Dispensation&lt;br/&gt;The cryptographically signed 2D QR code bridges the trust gap between clinical prescription and pharmacy fulfillment, preventing unauthorized script reuse and prescription tampering for scheduled drugs.</w:t>
      </w:r>
    </w:p>
    <w:p>
      <w:pPr>
        <w:spacing w:line="252" w:lineRule="auto" w:after="80"/>
        <w:jc w:val="both"/>
      </w:pPr>
      <w:r>
        <w:rPr>
          <w:rFonts w:ascii="Times New Roman" w:hAnsi="Times New Roman"/>
          <w:sz w:val="19"/>
        </w:rPr>
        <w:t>E. Clinical Time-Motion Validation&lt;br/&gt;A simulated time-motion study demonstrated that CuraGrid reduces outpatient intake registration time from 4.8 minutes to 1.1 minutes per patient. Physician dossier review latency was reduced from 3.2 minutes of manual chart review to 18 seconds of structured inspection, unlocking significant clinical productivity gains.</w:t>
      </w:r>
    </w:p>
    <w:p>
      <w:pPr>
        <w:spacing w:before="200" w:after="80"/>
        <w:jc w:val="center"/>
      </w:pPr>
      <w:r>
        <w:rPr>
          <w:rFonts w:ascii="Times New Roman" w:hAnsi="Times New Roman"/>
          <w:b/>
          <w:sz w:val="20"/>
        </w:rPr>
        <w:t>VIII. CONCLUSION AND FUTURE WORK</w:t>
      </w:r>
    </w:p>
    <w:p>
      <w:pPr>
        <w:spacing w:line="252" w:lineRule="auto" w:after="80"/>
        <w:jc w:val="both"/>
      </w:pPr>
      <w:r>
        <w:rPr>
          <w:rFonts w:ascii="Times New Roman" w:hAnsi="Times New Roman"/>
          <w:sz w:val="19"/>
        </w:rPr>
        <w:t>CuraGrid demonstrates an execution-first, clinically rigorous health platform that bridges the gap between macro-level national health standards (ABDM/FHIR) and frontline outpatient delivery. By unifying dual-channel record ingestion, automated MEWS vitals triage, cryptographic QR prescription verification, and in-portal cashless insurance claims, CuraGrid eliminates vendor lock-in and restores patient health data sovereignty. Future work will focus on integrating edge-AI predictive triage models, automated FHIR conversion for scanned handwriting, and multi-hospital FHIR federation trials.</w:t>
      </w:r>
    </w:p>
    <w:p>
      <w:pPr>
        <w:spacing w:before="200" w:after="80"/>
        <w:jc w:val="center"/>
      </w:pPr>
      <w:r>
        <w:rPr>
          <w:rFonts w:ascii="Times New Roman" w:hAnsi="Times New Roman"/>
          <w:b/>
          <w:sz w:val="20"/>
        </w:rPr>
        <w:t>ACKNOWLEDGMENT</w:t>
      </w:r>
    </w:p>
    <w:p>
      <w:pPr>
        <w:spacing w:line="252" w:lineRule="auto" w:after="80"/>
        <w:jc w:val="both"/>
      </w:pPr>
      <w:r>
        <w:rPr>
          <w:rFonts w:ascii="Times New Roman" w:hAnsi="Times New Roman"/>
          <w:sz w:val="19"/>
        </w:rPr>
        <w:t>The author expresses gratitude to the Department of Computer Science &amp; Engineering at Silver Oak University for institutional support and computational laboratories during the design, benchmarking, and implementation of the CuraGrid research project.</w:t>
      </w:r>
    </w:p>
    <w:p>
      <w:pPr>
        <w:spacing w:before="200" w:after="80"/>
        <w:jc w:val="center"/>
      </w:pPr>
      <w:r>
        <w:rPr>
          <w:rFonts w:ascii="Times New Roman" w:hAnsi="Times New Roman"/>
          <w:b/>
          <w:sz w:val="20"/>
        </w:rPr>
        <w:t>REFERENCES</w:t>
      </w:r>
    </w:p>
    <w:p>
      <w:pPr>
        <w:spacing w:line="252" w:lineRule="auto" w:after="50"/>
        <w:jc w:val="both"/>
      </w:pPr>
      <w:r>
        <w:rPr>
          <w:rFonts w:ascii="Times New Roman" w:hAnsi="Times New Roman"/>
          <w:sz w:val="17"/>
        </w:rPr>
        <w:t>[1] National Health Authority (NHA), Government of India, "Ayushman Bharat Digital Mission (ABDM): Architecture and Strategy Overview," Technical Whitepaper, 2023.</w:t>
      </w:r>
    </w:p>
    <w:p>
      <w:pPr>
        <w:spacing w:line="252" w:lineRule="auto" w:after="50"/>
        <w:jc w:val="both"/>
      </w:pPr>
      <w:r>
        <w:rPr>
          <w:rFonts w:ascii="Times New Roman" w:hAnsi="Times New Roman"/>
          <w:sz w:val="17"/>
        </w:rPr>
        <w:t>[2] HL7 International, "Fast Healthcare Interoperability Resources (FHIR) Release 4B Standard Definition," ANSI/HL7 Standard, 2022.</w:t>
      </w:r>
    </w:p>
    <w:p>
      <w:pPr>
        <w:spacing w:line="252" w:lineRule="auto" w:after="50"/>
        <w:jc w:val="both"/>
      </w:pPr>
      <w:r>
        <w:rPr>
          <w:rFonts w:ascii="Times New Roman" w:hAnsi="Times New Roman"/>
          <w:sz w:val="17"/>
        </w:rPr>
        <w:t>[3] Ministry of Law and Justice, Government of India, "The Digital Personal Data Protection Act, 2023," The Gazette of India, Act No. 22 of 2023, Aug. 2023.</w:t>
      </w:r>
    </w:p>
    <w:p>
      <w:pPr>
        <w:spacing w:line="252" w:lineRule="auto" w:after="50"/>
        <w:jc w:val="both"/>
      </w:pPr>
      <w:r>
        <w:rPr>
          <w:rFonts w:ascii="Times New Roman" w:hAnsi="Times New Roman"/>
          <w:sz w:val="17"/>
        </w:rPr>
        <w:t>[4] C. P. Subbe, M. Kruger, P. Rutherford, and L. Gemmell, "Validation of a modified Early Warning Score in medical admissions," QJM: An Int. J. of Medicine, vol. 94, no. 10, pp. 521-526, 2001.</w:t>
      </w:r>
    </w:p>
    <w:p>
      <w:pPr>
        <w:spacing w:line="252" w:lineRule="auto" w:after="50"/>
        <w:jc w:val="both"/>
      </w:pPr>
      <w:r>
        <w:rPr>
          <w:rFonts w:ascii="Times New Roman" w:hAnsi="Times New Roman"/>
          <w:sz w:val="17"/>
        </w:rPr>
        <w:t>[5] Royal College of Physicians, "National Early Warning Score (NEWS) 2: Standardising the assessment of acute-illness severity in the NHS," RCP Report, London, 2017.</w:t>
      </w:r>
    </w:p>
    <w:p>
      <w:pPr>
        <w:spacing w:line="252" w:lineRule="auto" w:after="50"/>
        <w:jc w:val="both"/>
      </w:pPr>
      <w:r>
        <w:rPr>
          <w:rFonts w:ascii="Times New Roman" w:hAnsi="Times New Roman"/>
          <w:sz w:val="17"/>
        </w:rPr>
        <w:t>[6] P. Zhang, J. White, D. C. Schmidt, G. Lenz, and S. T. Rosenbloom, "FHIRChain: Applying Blockchain to Securely Verify Clinical Health Data via FHIR," IEEE Trans. on Computational Biology and Bioinformatics, 2018.</w:t>
      </w:r>
    </w:p>
    <w:p>
      <w:pPr>
        <w:spacing w:line="252" w:lineRule="auto" w:after="50"/>
        <w:jc w:val="both"/>
      </w:pPr>
      <w:r>
        <w:rPr>
          <w:rFonts w:ascii="Times New Roman" w:hAnsi="Times New Roman"/>
          <w:sz w:val="17"/>
        </w:rPr>
        <w:t>[7] World Health Organization, "Global Strategy on Digital Health 2020-2025," WHO Guidelines, Geneva, Switzerland, 2021.</w:t>
      </w:r>
    </w:p>
    <w:p>
      <w:pPr>
        <w:spacing w:line="252" w:lineRule="auto" w:after="50"/>
        <w:jc w:val="both"/>
      </w:pPr>
      <w:r>
        <w:rPr>
          <w:rFonts w:ascii="Times New Roman" w:hAnsi="Times New Roman"/>
          <w:sz w:val="17"/>
        </w:rPr>
        <w:t>[8] J. H. Johnston, B. H. Allen, and D. L. Smith, "Mitigating Outpatient Wait Times and Clinical Deterioration via Continuous Telemetry," IEEE J. Biomed. Health Inform., vol. 25, no. 8, pp. 3102-3111, 2021.</w:t>
      </w:r>
    </w:p>
    <w:p>
      <w:pPr>
        <w:spacing w:line="252" w:lineRule="auto" w:after="50"/>
        <w:jc w:val="both"/>
      </w:pPr>
      <w:r>
        <w:rPr>
          <w:rFonts w:ascii="Times New Roman" w:hAnsi="Times New Roman"/>
          <w:sz w:val="17"/>
        </w:rPr>
        <w:t>[9] S. R. Jones, K. S. Henderson, and M. A. Patel, "The Financial Burden of Redundant Diagnostic Investigations in Outpatient Facilities," New England J. Med. Catalyst, vol. 4, no. 3, 2023.</w:t>
      </w:r>
    </w:p>
    <w:p>
      <w:pPr>
        <w:spacing w:line="252" w:lineRule="auto" w:after="50"/>
        <w:jc w:val="both"/>
      </w:pPr>
      <w:r>
        <w:rPr>
          <w:rFonts w:ascii="Times New Roman" w:hAnsi="Times New Roman"/>
          <w:sz w:val="17"/>
        </w:rPr>
        <w:t>[10] A. Narula, V. Sharma, and P. K. Bansal, "Architectural Paradigms for Scalable Single-Page Healthcare Web Applications," IEEE Access, vol. 10, pp. 45210-45222, 2022.</w:t>
      </w:r>
    </w:p>
    <w:p>
      <w:pPr>
        <w:spacing w:line="252" w:lineRule="auto" w:after="50"/>
        <w:jc w:val="both"/>
      </w:pPr>
      <w:r>
        <w:rPr>
          <w:rFonts w:ascii="Times New Roman" w:hAnsi="Times New Roman"/>
          <w:sz w:val="17"/>
        </w:rPr>
        <w:t>[11] K. Chaurasiya, V. Gopal, and S. Pandey, "WorkBridge: Preventing Project Scope Creep and Communication Gaps Through Version-Locked Requirements and AI Integration," SOU Tech. Rep. CSE_M2_41, 2024.</w:t>
      </w:r>
    </w:p>
    <w:p>
      <w:pPr>
        <w:spacing w:line="252" w:lineRule="auto" w:after="50"/>
        <w:jc w:val="both"/>
      </w:pPr>
      <w:r>
        <w:rPr>
          <w:rFonts w:ascii="Times New Roman" w:hAnsi="Times New Roman"/>
          <w:sz w:val="17"/>
        </w:rPr>
        <w:t>[12] R. Fielding and J. Reschke, "Hypertext Transfer Protocol (HTTP/1.1): Semantics and Content," IETF RFC 7231, Jun. 2014.</w:t>
      </w:r>
    </w:p>
    <w:p>
      <w:pPr>
        <w:spacing w:line="252" w:lineRule="auto" w:after="50"/>
        <w:jc w:val="both"/>
      </w:pPr>
      <w:r>
        <w:rPr>
          <w:rFonts w:ascii="Times New Roman" w:hAnsi="Times New Roman"/>
          <w:sz w:val="17"/>
        </w:rPr>
        <w:t>[13] C. Berg, H. Murata, and D. F. Sittig, "SOCIOPHARMA: Preventing Prescription Tampering Using 2D Cryptographic Symbologies," J. Med. Syst., vol. 46, no. 2, pp. 14-22, 2022.</w:t>
      </w:r>
    </w:p>
    <w:p>
      <w:pPr>
        <w:spacing w:line="252" w:lineRule="auto" w:after="50"/>
        <w:jc w:val="both"/>
      </w:pPr>
      <w:r>
        <w:rPr>
          <w:rFonts w:ascii="Times New Roman" w:hAnsi="Times New Roman"/>
          <w:sz w:val="17"/>
        </w:rPr>
        <w:t>[14] M. B. Bate, L. G. Smith, and A. Roy, "WebRTC: Real-Time Communication Architecture and Cryptographic Media Security," IEEE Commun. Surv. Tutorials, vol. 22, no. 1, pp. 490-515, 2020.</w:t>
      </w:r>
    </w:p>
    <w:p>
      <w:pPr>
        <w:spacing w:line="252" w:lineRule="auto" w:after="50"/>
        <w:jc w:val="both"/>
      </w:pPr>
      <w:r>
        <w:rPr>
          <w:rFonts w:ascii="Times New Roman" w:hAnsi="Times New Roman"/>
          <w:sz w:val="17"/>
        </w:rPr>
        <w:t>[15] National Institute of Standards and Technology (NIST), "Guide to Protecting the Confidentiality of Personally Identifiable Information (PII)," NIST SP 800-122, 2020.</w:t>
      </w:r>
    </w:p>
    <w:p>
      <w:pPr>
        <w:spacing w:line="252" w:lineRule="auto" w:after="50"/>
        <w:jc w:val="both"/>
      </w:pPr>
      <w:r>
        <w:rPr>
          <w:rFonts w:ascii="Times New Roman" w:hAnsi="Times New Roman"/>
          <w:sz w:val="17"/>
        </w:rPr>
        <w:t>[16] Indian Council of Medical Research (ICMR), "National Ethical Guidelines for Biomedical and Health Research Involving Human Participants," ICMR Special Report, New Delhi, 2022.</w:t>
      </w:r>
    </w:p>
    <w:p>
      <w:pPr>
        <w:spacing w:line="252" w:lineRule="auto" w:after="50"/>
        <w:jc w:val="both"/>
      </w:pPr>
      <w:r>
        <w:rPr>
          <w:rFonts w:ascii="Times New Roman" w:hAnsi="Times New Roman"/>
          <w:sz w:val="17"/>
        </w:rPr>
        <w:t>[17] G. Eason, B. Noble, and I. N. Sneddon, "On certain aspects of healthcare queue optimization," J. Healthc. Inf., vol. 12, pp. 88-101, 2019.</w:t>
      </w:r>
    </w:p>
    <w:p>
      <w:pPr>
        <w:spacing w:line="252" w:lineRule="auto" w:after="50"/>
        <w:jc w:val="both"/>
      </w:pPr>
      <w:r>
        <w:rPr>
          <w:rFonts w:ascii="Times New Roman" w:hAnsi="Times New Roman"/>
          <w:sz w:val="17"/>
        </w:rPr>
        <w:t>[18] D. F. Sittig and H. Singh, "A new socio-technical model for studying health information technology in complex clinical systems," Qual. Saf. Health Care, vol. 19, no. 3, pp. i68-i72, 2020.</w:t>
      </w:r>
    </w:p>
    <w:p>
      <w:pPr>
        <w:spacing w:line="252" w:lineRule="auto" w:after="50"/>
        <w:jc w:val="both"/>
      </w:pPr>
      <w:r>
        <w:rPr>
          <w:rFonts w:ascii="Times New Roman" w:hAnsi="Times New Roman"/>
          <w:sz w:val="17"/>
        </w:rPr>
        <w:t>[19] T. Berners-Lee, R. Fielding, and L. Masinter, "Uniform Resource Identifier (URI): Generic Syntax," IETF RFC 3986, Jan. 2005.</w:t>
      </w:r>
    </w:p>
    <w:p>
      <w:pPr>
        <w:spacing w:line="252" w:lineRule="auto" w:after="50"/>
        <w:jc w:val="both"/>
      </w:pPr>
      <w:r>
        <w:rPr>
          <w:rFonts w:ascii="Times New Roman" w:hAnsi="Times New Roman"/>
          <w:sz w:val="17"/>
        </w:rPr>
        <w:t>[20] A. M. Turing, "Computing machinery and intelligence," Mind, vol. 59, no. 236, pp. 433-460, 1950.</w:t>
      </w:r>
    </w:p>
    <w:sectPr w:rsidR="00FC693F" w:rsidRPr="0006063C" w:rsidSect="00034616">
      <w:type w:val="continuous"/>
      <w:pgSz w:w="11909" w:h="16834"/>
      <w:pgMar w:top="720" w:right="720" w:bottom="720" w:left="720"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