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87" w:rsidRDefault="005C6E87" w:rsidP="005C6E87">
      <w:pPr>
        <w:rPr>
          <w:rFonts w:ascii="Calibri Light" w:hAnsi="Calibri Light"/>
          <w:color w:val="44546A"/>
        </w:rPr>
      </w:pPr>
      <w:r>
        <w:rPr>
          <w:rFonts w:ascii="Calibri Light" w:hAnsi="Calibri Light"/>
          <w:color w:val="44546A"/>
        </w:rPr>
        <w:t xml:space="preserve">Gaurav, </w:t>
      </w:r>
    </w:p>
    <w:p w:rsidR="005C6E87" w:rsidRDefault="005C6E87" w:rsidP="005C6E87">
      <w:pPr>
        <w:rPr>
          <w:rFonts w:ascii="Calibri Light" w:hAnsi="Calibri Light"/>
          <w:color w:val="44546A"/>
        </w:rPr>
      </w:pPr>
      <w:r>
        <w:rPr>
          <w:rFonts w:ascii="Calibri Light" w:hAnsi="Calibri Light"/>
          <w:color w:val="44546A"/>
        </w:rPr>
        <w:tab/>
      </w:r>
      <w:proofErr w:type="gramStart"/>
      <w:r>
        <w:rPr>
          <w:rFonts w:ascii="Calibri Light" w:hAnsi="Calibri Light"/>
          <w:color w:val="44546A"/>
        </w:rPr>
        <w:t>My comments inline.</w:t>
      </w:r>
      <w:proofErr w:type="gramEnd"/>
      <w:r>
        <w:rPr>
          <w:rFonts w:ascii="Calibri Light" w:hAnsi="Calibri Light"/>
          <w:color w:val="44546A"/>
        </w:rPr>
        <w:t xml:space="preserve"> </w:t>
      </w:r>
    </w:p>
    <w:p w:rsidR="005C6E87" w:rsidRDefault="005C6E87" w:rsidP="005C6E87">
      <w:pPr>
        <w:rPr>
          <w:rFonts w:ascii="Calibri Light" w:hAnsi="Calibri Light"/>
          <w:color w:val="44546A"/>
        </w:rPr>
      </w:pPr>
    </w:p>
    <w:p w:rsidR="005C6E87" w:rsidRDefault="005C6E87" w:rsidP="005C6E87">
      <w:pPr>
        <w:rPr>
          <w:rFonts w:ascii="Calibri Light" w:hAnsi="Calibri Light"/>
          <w:color w:val="44546A"/>
        </w:rPr>
      </w:pPr>
      <w:proofErr w:type="gramStart"/>
      <w:r>
        <w:rPr>
          <w:rFonts w:ascii="Calibri Light" w:hAnsi="Calibri Light"/>
          <w:color w:val="44546A"/>
        </w:rPr>
        <w:t>Regards.</w:t>
      </w:r>
      <w:proofErr w:type="gramEnd"/>
    </w:p>
    <w:p w:rsidR="005C6E87" w:rsidRDefault="005C6E87" w:rsidP="005C6E87">
      <w:pPr>
        <w:rPr>
          <w:rFonts w:ascii="Calibri Light" w:hAnsi="Calibri Light"/>
          <w:b/>
          <w:noProof/>
          <w:color w:val="1F497D"/>
        </w:rPr>
      </w:pPr>
      <w:r>
        <w:rPr>
          <w:rFonts w:ascii="Calibri Light" w:hAnsi="Calibri Light"/>
          <w:b/>
          <w:noProof/>
          <w:color w:val="1F497D"/>
        </w:rPr>
        <w:t xml:space="preserve">Prashanth B Panduranga </w:t>
      </w:r>
    </w:p>
    <w:p w:rsidR="005C6E87" w:rsidRDefault="005C6E87" w:rsidP="005C6E87">
      <w:pPr>
        <w:rPr>
          <w:rFonts w:ascii="Calibri Light" w:hAnsi="Calibri Light"/>
          <w:noProof/>
          <w:color w:val="1F497D"/>
          <w:sz w:val="20"/>
          <w:szCs w:val="20"/>
        </w:rPr>
      </w:pPr>
      <w:r>
        <w:rPr>
          <w:rFonts w:ascii="Calibri Light" w:hAnsi="Calibri Light"/>
          <w:noProof/>
          <w:color w:val="1F497D"/>
          <w:sz w:val="20"/>
          <w:szCs w:val="20"/>
        </w:rPr>
        <w:t>Cloud Transformation Leader</w:t>
      </w:r>
    </w:p>
    <w:p w:rsidR="005C6E87" w:rsidRDefault="005C6E87" w:rsidP="005C6E87">
      <w:pPr>
        <w:rPr>
          <w:rFonts w:ascii="Calibri Light" w:hAnsi="Calibri Light"/>
          <w:noProof/>
          <w:color w:val="1F497D"/>
          <w:sz w:val="20"/>
          <w:szCs w:val="20"/>
        </w:rPr>
      </w:pPr>
      <w:r>
        <w:rPr>
          <w:rFonts w:ascii="Calibri Light" w:hAnsi="Calibri Light"/>
          <w:noProof/>
          <w:color w:val="1F497D"/>
          <w:sz w:val="20"/>
          <w:szCs w:val="20"/>
        </w:rPr>
        <w:t xml:space="preserve">Enterprise Cloud Services | Wells Fargo &amp; Co. </w:t>
      </w:r>
    </w:p>
    <w:p w:rsidR="005C6E87" w:rsidRDefault="005C6E87" w:rsidP="005C6E87">
      <w:pPr>
        <w:rPr>
          <w:rFonts w:ascii="Calibri Light" w:hAnsi="Calibri Light"/>
          <w:noProof/>
          <w:color w:val="1F497D"/>
          <w:sz w:val="20"/>
          <w:szCs w:val="20"/>
        </w:rPr>
      </w:pPr>
      <w:r>
        <w:rPr>
          <w:rFonts w:ascii="Calibri Light" w:hAnsi="Calibri Light"/>
          <w:noProof/>
          <w:color w:val="1F497D"/>
          <w:sz w:val="20"/>
          <w:szCs w:val="20"/>
        </w:rPr>
        <w:t>Block 2A West Tower, Embassy Tech Village, Devarabisanahalli, ORR Varthur Hobli, Bengaluru</w:t>
      </w:r>
    </w:p>
    <w:p w:rsidR="005C6E87" w:rsidRDefault="005C6E87" w:rsidP="005C6E87">
      <w:pPr>
        <w:rPr>
          <w:rFonts w:ascii="Verdana" w:hAnsi="Verdana"/>
          <w:noProof/>
          <w:color w:val="808080"/>
          <w:sz w:val="15"/>
          <w:szCs w:val="15"/>
        </w:rPr>
      </w:pPr>
      <w:r>
        <w:rPr>
          <w:rFonts w:ascii="Verdana" w:hAnsi="Verdana"/>
          <w:noProof/>
          <w:color w:val="808080"/>
          <w:sz w:val="15"/>
          <w:szCs w:val="15"/>
        </w:rPr>
        <w:t xml:space="preserve">+91 9900984671(M) | 651-780-6430 (VOIP) </w:t>
      </w:r>
    </w:p>
    <w:p w:rsidR="005C6E87" w:rsidRDefault="005C6E87" w:rsidP="005C6E87">
      <w:pPr>
        <w:spacing w:before="100" w:beforeAutospacing="1" w:after="100" w:afterAutospacing="1"/>
        <w:rPr>
          <w:rFonts w:ascii="Verdana" w:hAnsi="Verdana"/>
          <w:noProof/>
          <w:color w:val="1F497D"/>
          <w:sz w:val="20"/>
          <w:szCs w:val="20"/>
        </w:rPr>
      </w:pPr>
      <w:r>
        <w:rPr>
          <w:rFonts w:ascii="Verdana" w:hAnsi="Verdana"/>
          <w:noProof/>
          <w:color w:val="1F497D"/>
          <w:sz w:val="15"/>
          <w:szCs w:val="15"/>
        </w:rPr>
        <w:t>This message may contain confidential and/or privileged information.  If you are not the addressee or authorized to receive this for the addressee, you must not use, copy, disclose, or take any action based on this message or any information herein.  If you have received this message in error, please advise the sender immediately by reply e-mail and delete this message.  Thank you for your cooperation.</w:t>
      </w:r>
    </w:p>
    <w:p w:rsidR="005C6E87" w:rsidRDefault="005C6E87" w:rsidP="005C6E87">
      <w:pPr>
        <w:rPr>
          <w:rFonts w:ascii="Calibri" w:hAnsi="Calibri"/>
          <w:noProof/>
          <w:color w:val="44546A"/>
        </w:rPr>
      </w:pPr>
    </w:p>
    <w:p w:rsidR="005C6E87" w:rsidRDefault="005C6E87" w:rsidP="005C6E87">
      <w:pPr>
        <w:rPr>
          <w:rFonts w:ascii="Calibri Light" w:hAnsi="Calibri Light"/>
          <w:color w:val="44546A"/>
        </w:rPr>
      </w:pPr>
    </w:p>
    <w:p w:rsidR="005C6E87" w:rsidRDefault="005C6E87" w:rsidP="005C6E87">
      <w:pPr>
        <w:rPr>
          <w:rFonts w:ascii="Calibri Light" w:hAnsi="Calibri Light"/>
          <w:color w:val="44546A"/>
        </w:rPr>
      </w:pPr>
    </w:p>
    <w:p w:rsidR="005C6E87" w:rsidRDefault="005C6E87" w:rsidP="005C6E87">
      <w:pPr>
        <w:rPr>
          <w:rFonts w:ascii="Calibri Light" w:hAnsi="Calibri Light"/>
          <w:color w:val="44546A"/>
        </w:rPr>
      </w:pPr>
    </w:p>
    <w:p w:rsidR="005C6E87" w:rsidRDefault="005C6E87" w:rsidP="005C6E87">
      <w:pPr>
        <w:outlineLvl w:val="0"/>
        <w:rPr>
          <w:rFonts w:ascii="Calibri" w:hAnsi="Calibri"/>
        </w:rPr>
      </w:pPr>
      <w:r>
        <w:t>_____________________________________________</w:t>
      </w:r>
      <w:r>
        <w:br/>
      </w:r>
      <w:r>
        <w:rPr>
          <w:b/>
          <w:bCs/>
        </w:rPr>
        <w:t>From:</w:t>
      </w:r>
      <w:r>
        <w:t xml:space="preserve"> Mohite, Gaurav </w:t>
      </w:r>
      <w:r>
        <w:br/>
      </w:r>
      <w:r>
        <w:rPr>
          <w:b/>
          <w:bCs/>
        </w:rPr>
        <w:t>Sent:</w:t>
      </w:r>
      <w:r>
        <w:t xml:space="preserve"> Thursday, April 27, 2017 3:58 PM</w:t>
      </w:r>
      <w:r>
        <w:br/>
      </w:r>
      <w:r>
        <w:rPr>
          <w:b/>
          <w:bCs/>
        </w:rPr>
        <w:t>To:</w:t>
      </w:r>
      <w:r>
        <w:t xml:space="preserve"> Panduranga, Prashanth B. &lt;</w:t>
      </w:r>
      <w:hyperlink r:id="rId5" w:history="1">
        <w:r>
          <w:rPr>
            <w:rStyle w:val="Hyperlink"/>
            <w:color w:val="000000"/>
            <w14:textFill>
              <w14:solidFill>
                <w14:srgbClr w14:val="000000"/>
              </w14:solidFill>
            </w14:textFill>
          </w:rPr>
          <w:t>Prashanth.B.Panduranga@wellsfargo.com</w:t>
        </w:r>
      </w:hyperlink>
      <w:r>
        <w:t>&gt;</w:t>
      </w:r>
      <w:r>
        <w:br/>
      </w:r>
      <w:r>
        <w:rPr>
          <w:b/>
          <w:bCs/>
        </w:rPr>
        <w:t>Subject:</w:t>
      </w:r>
      <w:r>
        <w:t xml:space="preserve"> IaaS Job Description.</w:t>
      </w:r>
      <w:r>
        <w:br/>
      </w:r>
      <w:r>
        <w:rPr>
          <w:b/>
          <w:bCs/>
        </w:rPr>
        <w:t>Importance:</w:t>
      </w:r>
      <w:r>
        <w:t xml:space="preserve"> High</w:t>
      </w:r>
    </w:p>
    <w:p w:rsidR="005C6E87" w:rsidRDefault="005C6E87" w:rsidP="005C6E87"/>
    <w:p w:rsidR="005C6E87" w:rsidRDefault="005C6E87" w:rsidP="005C6E87"/>
    <w:p w:rsidR="005C6E87" w:rsidRDefault="005C6E87" w:rsidP="005C6E87">
      <w:pPr>
        <w:rPr>
          <w:color w:val="17365D"/>
        </w:rPr>
      </w:pPr>
      <w:r>
        <w:rPr>
          <w:color w:val="17365D"/>
        </w:rPr>
        <w:t>Hi Prashanth,</w:t>
      </w:r>
    </w:p>
    <w:p w:rsidR="005C6E87" w:rsidRDefault="005C6E87" w:rsidP="005C6E87">
      <w:pPr>
        <w:rPr>
          <w:color w:val="17365D"/>
        </w:rPr>
      </w:pPr>
    </w:p>
    <w:p w:rsidR="005C6E87" w:rsidRDefault="005C6E87" w:rsidP="005C6E87">
      <w:pPr>
        <w:rPr>
          <w:color w:val="17365D"/>
        </w:rPr>
      </w:pPr>
      <w:r>
        <w:rPr>
          <w:color w:val="17365D"/>
        </w:rPr>
        <w:t xml:space="preserve">As per your discussion with Samrat, we have start looking into IaaS candidates. To bring right candidates we are looking your thoughts on technical stacks and weightage that you feel will be right for IaaS positions. </w:t>
      </w:r>
    </w:p>
    <w:p w:rsidR="005C6E87" w:rsidRDefault="005C6E87" w:rsidP="005C6E87">
      <w:pPr>
        <w:rPr>
          <w:color w:val="17365D"/>
        </w:rPr>
      </w:pPr>
    </w:p>
    <w:p w:rsidR="005C6E87" w:rsidRDefault="005C6E87" w:rsidP="005C6E87">
      <w:pPr>
        <w:rPr>
          <w:color w:val="17365D"/>
        </w:rPr>
      </w:pPr>
      <w:r>
        <w:rPr>
          <w:color w:val="17365D"/>
        </w:rPr>
        <w:t>Following are technical stacks we are looking:</w:t>
      </w:r>
    </w:p>
    <w:p w:rsidR="005C6E87" w:rsidRDefault="005C6E87" w:rsidP="005C6E87">
      <w:pPr>
        <w:rPr>
          <w:color w:val="17365D"/>
        </w:rPr>
      </w:pPr>
    </w:p>
    <w:tbl>
      <w:tblPr>
        <w:tblStyle w:val="TableGrid"/>
        <w:tblW w:w="0" w:type="auto"/>
        <w:tblInd w:w="0" w:type="dxa"/>
        <w:tblLook w:val="04A0" w:firstRow="1" w:lastRow="0" w:firstColumn="1" w:lastColumn="0" w:noHBand="0" w:noVBand="1"/>
      </w:tblPr>
      <w:tblGrid>
        <w:gridCol w:w="7822"/>
        <w:gridCol w:w="1754"/>
      </w:tblGrid>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Good Understanding about Infrastructure as service and its various offering.</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Must have</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Cloud Iaas platform (OpenStack, Pivotal, Azure Stack)</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strike/>
                <w:color w:val="17365D"/>
              </w:rPr>
            </w:pPr>
            <w:bookmarkStart w:id="0" w:name="_GoBack"/>
            <w:bookmarkEnd w:id="0"/>
            <w:r>
              <w:rPr>
                <w:strike/>
                <w:color w:val="17365D"/>
              </w:rPr>
              <w:t>Must have</w:t>
            </w:r>
            <w:r>
              <w:rPr>
                <w:strike/>
                <w:color w:val="44546A"/>
              </w:rPr>
              <w:t xml:space="preserve"> </w:t>
            </w:r>
            <w:r>
              <w:rPr>
                <w:b/>
                <w:color w:val="44546A"/>
              </w:rPr>
              <w:t>Good to have</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Hands-on Servers management (Windows, Linux, Unix)</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Must have</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Good understanding on Active Directory/Directory Service, Networking, Load Balancing, Clusters</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Good to have</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Good understanding of VMware, Hypervisors, virtual cloud networks</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Good to have</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Good understanding on software management, packaging (.NET Framework, SQL Server, Oracle, SSIS, SSRS &amp; Other tools)</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Good to have</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 xml:space="preserve">Understanding of .NET Framework, Service Bus, Queue (MSMQ, </w:t>
            </w:r>
            <w:proofErr w:type="spellStart"/>
            <w:r>
              <w:rPr>
                <w:color w:val="17365D"/>
              </w:rPr>
              <w:t>RabbitMQ</w:t>
            </w:r>
            <w:proofErr w:type="spellEnd"/>
            <w:r>
              <w:rPr>
                <w:color w:val="17365D"/>
              </w:rPr>
              <w:t>) etc.</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color w:val="17365D"/>
              </w:rPr>
            </w:pPr>
            <w:r>
              <w:rPr>
                <w:color w:val="17365D"/>
              </w:rPr>
              <w:t>Basic</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b/>
                <w:color w:val="17365D"/>
              </w:rPr>
            </w:pPr>
            <w:r>
              <w:rPr>
                <w:b/>
                <w:color w:val="17365D"/>
              </w:rPr>
              <w:t>Knowledge of Load Balancers</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b/>
                <w:color w:val="17365D"/>
              </w:rPr>
            </w:pPr>
            <w:r>
              <w:rPr>
                <w:b/>
                <w:color w:val="17365D"/>
              </w:rPr>
              <w:t>Good to have</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b/>
                <w:color w:val="17365D"/>
              </w:rPr>
            </w:pPr>
            <w:r>
              <w:rPr>
                <w:b/>
                <w:color w:val="17365D"/>
              </w:rPr>
              <w:t>Knowledge of IIS, .NET application hosting</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b/>
                <w:color w:val="17365D"/>
              </w:rPr>
            </w:pPr>
            <w:r>
              <w:rPr>
                <w:b/>
                <w:color w:val="17365D"/>
              </w:rPr>
              <w:t>Must have</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b/>
                <w:color w:val="17365D"/>
              </w:rPr>
            </w:pPr>
            <w:r>
              <w:rPr>
                <w:b/>
                <w:color w:val="17365D"/>
              </w:rPr>
              <w:t>Knowledge of TFS</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b/>
                <w:color w:val="17365D"/>
              </w:rPr>
            </w:pPr>
            <w:r>
              <w:rPr>
                <w:b/>
                <w:color w:val="17365D"/>
              </w:rPr>
              <w:t>Must have</w:t>
            </w:r>
          </w:p>
        </w:tc>
      </w:tr>
      <w:tr w:rsidR="005C6E87" w:rsidTr="005C6E87">
        <w:tc>
          <w:tcPr>
            <w:tcW w:w="7822" w:type="dxa"/>
            <w:tcBorders>
              <w:top w:val="single" w:sz="4" w:space="0" w:color="auto"/>
              <w:left w:val="single" w:sz="4" w:space="0" w:color="auto"/>
              <w:bottom w:val="single" w:sz="4" w:space="0" w:color="auto"/>
              <w:right w:val="single" w:sz="4" w:space="0" w:color="auto"/>
            </w:tcBorders>
            <w:hideMark/>
          </w:tcPr>
          <w:p w:rsidR="005C6E87" w:rsidRDefault="005C6E87">
            <w:pPr>
              <w:rPr>
                <w:b/>
                <w:color w:val="17365D"/>
              </w:rPr>
            </w:pPr>
            <w:r>
              <w:rPr>
                <w:b/>
                <w:color w:val="17365D"/>
              </w:rPr>
              <w:t>Knowledge of legacy code base (VB, COM+)</w:t>
            </w:r>
          </w:p>
        </w:tc>
        <w:tc>
          <w:tcPr>
            <w:tcW w:w="1754" w:type="dxa"/>
            <w:tcBorders>
              <w:top w:val="single" w:sz="4" w:space="0" w:color="auto"/>
              <w:left w:val="single" w:sz="4" w:space="0" w:color="auto"/>
              <w:bottom w:val="single" w:sz="4" w:space="0" w:color="auto"/>
              <w:right w:val="single" w:sz="4" w:space="0" w:color="auto"/>
            </w:tcBorders>
            <w:hideMark/>
          </w:tcPr>
          <w:p w:rsidR="005C6E87" w:rsidRDefault="005C6E87">
            <w:pPr>
              <w:rPr>
                <w:b/>
                <w:color w:val="17365D"/>
              </w:rPr>
            </w:pPr>
            <w:r>
              <w:rPr>
                <w:b/>
                <w:color w:val="17365D"/>
              </w:rPr>
              <w:t>Must have for at least a few team members</w:t>
            </w:r>
          </w:p>
        </w:tc>
      </w:tr>
    </w:tbl>
    <w:p w:rsidR="005C6E87" w:rsidRDefault="005C6E87" w:rsidP="005C6E87">
      <w:pPr>
        <w:rPr>
          <w:rFonts w:ascii="Calibri" w:hAnsi="Calibri"/>
          <w:color w:val="17365D"/>
        </w:rPr>
      </w:pPr>
    </w:p>
    <w:p w:rsidR="005C6E87" w:rsidRDefault="005C6E87" w:rsidP="005C6E87">
      <w:pPr>
        <w:rPr>
          <w:color w:val="17365D"/>
        </w:rPr>
      </w:pPr>
      <w:r>
        <w:rPr>
          <w:color w:val="17365D"/>
        </w:rPr>
        <w:t>Please let me know if want us to include other items or weightage.</w:t>
      </w:r>
    </w:p>
    <w:p w:rsidR="005C6E87" w:rsidRDefault="005C6E87" w:rsidP="005C6E87">
      <w:pPr>
        <w:rPr>
          <w:color w:val="17365D"/>
        </w:rPr>
      </w:pPr>
    </w:p>
    <w:p w:rsidR="005C6E87" w:rsidRDefault="005C6E87" w:rsidP="005C6E87">
      <w:pPr>
        <w:rPr>
          <w:rFonts w:cs="Tahoma"/>
          <w:b/>
          <w:noProof/>
          <w:color w:val="17365D"/>
          <w:sz w:val="20"/>
          <w:szCs w:val="20"/>
        </w:rPr>
      </w:pPr>
      <w:r>
        <w:rPr>
          <w:rFonts w:cs="Tahoma"/>
          <w:b/>
          <w:noProof/>
          <w:color w:val="17365D"/>
          <w:sz w:val="20"/>
          <w:szCs w:val="20"/>
        </w:rPr>
        <w:t>Thanks &amp; Regards,</w:t>
      </w:r>
    </w:p>
    <w:p w:rsidR="005C6E87" w:rsidRDefault="005C6E87" w:rsidP="005C6E87">
      <w:pPr>
        <w:rPr>
          <w:rFonts w:cs="Tahoma"/>
          <w:b/>
          <w:noProof/>
          <w:color w:val="17365D"/>
          <w:sz w:val="20"/>
          <w:szCs w:val="20"/>
        </w:rPr>
      </w:pPr>
      <w:r>
        <w:rPr>
          <w:rFonts w:cs="Tahoma"/>
          <w:b/>
          <w:noProof/>
          <w:color w:val="17365D"/>
          <w:sz w:val="20"/>
          <w:szCs w:val="20"/>
        </w:rPr>
        <w:t>Gaurav Mohite</w:t>
      </w:r>
    </w:p>
    <w:p w:rsidR="005C6E87" w:rsidRDefault="005C6E87" w:rsidP="005C6E87">
      <w:pPr>
        <w:rPr>
          <w:rFonts w:cs="Tahoma"/>
          <w:noProof/>
          <w:color w:val="17365D"/>
          <w:sz w:val="18"/>
          <w:szCs w:val="18"/>
        </w:rPr>
      </w:pPr>
      <w:r>
        <w:rPr>
          <w:rFonts w:cs="Tahoma"/>
          <w:noProof/>
          <w:color w:val="17365D"/>
          <w:sz w:val="18"/>
          <w:szCs w:val="18"/>
        </w:rPr>
        <w:t xml:space="preserve">+1 - 480 482 1491 (VoiP) | +91 88844 26396 (M) | </w:t>
      </w:r>
      <w:hyperlink r:id="rId6" w:history="1">
        <w:r>
          <w:rPr>
            <w:rStyle w:val="Hyperlink"/>
            <w:rFonts w:cs="Tahoma"/>
            <w:noProof/>
            <w:color w:val="000000"/>
            <w:sz w:val="18"/>
            <w:szCs w:val="18"/>
            <w14:textFill>
              <w14:solidFill>
                <w14:srgbClr w14:val="000000"/>
              </w14:solidFill>
            </w14:textFill>
          </w:rPr>
          <w:t>Gaurav.Mohite2@Wellsfargo.com</w:t>
        </w:r>
      </w:hyperlink>
    </w:p>
    <w:p w:rsidR="005C6E87" w:rsidRDefault="005C6E87" w:rsidP="005C6E87">
      <w:pPr>
        <w:rPr>
          <w:rFonts w:cs="Times New Roman"/>
          <w:noProof/>
          <w:color w:val="17365D"/>
        </w:rPr>
      </w:pPr>
    </w:p>
    <w:p w:rsidR="005C6E87" w:rsidRDefault="005C6E87" w:rsidP="005C6E87">
      <w:pPr>
        <w:rPr>
          <w:noProof/>
          <w:color w:val="C00000"/>
          <w:sz w:val="18"/>
          <w:szCs w:val="18"/>
        </w:rPr>
      </w:pPr>
      <w:r>
        <w:rPr>
          <w:noProof/>
          <w:color w:val="C00000"/>
          <w:sz w:val="18"/>
          <w:szCs w:val="18"/>
        </w:rPr>
        <w:t>Upcoming PTO/Holiday: March 16-17, 2017</w:t>
      </w:r>
    </w:p>
    <w:p w:rsidR="005C6E87" w:rsidRDefault="005C6E87" w:rsidP="005C6E87">
      <w:pPr>
        <w:rPr>
          <w:noProof/>
          <w:color w:val="17365D"/>
        </w:rPr>
      </w:pPr>
    </w:p>
    <w:p w:rsidR="005C6E87" w:rsidRDefault="005C6E87" w:rsidP="005C6E87"/>
    <w:p w:rsidR="00890862" w:rsidRDefault="005C6E87"/>
    <w:sectPr w:rsidR="00890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Verdana">
    <w:altName w:val=" Arial"/>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E87"/>
    <w:rsid w:val="005C6E87"/>
    <w:rsid w:val="00913CC3"/>
    <w:rsid w:val="00F8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E87"/>
    <w:rPr>
      <w:rFonts w:ascii="Times New Roman" w:hAnsi="Times New Roman" w:cs="Times New Roman" w:hint="default"/>
      <w:color w:val="0000FF"/>
      <w:u w:val="single"/>
      <w14:textFill>
        <w14:solidFill>
          <w14:srgbClr w14:val="000000"/>
        </w14:solidFill>
      </w14:textFill>
    </w:rPr>
  </w:style>
  <w:style w:type="table" w:styleId="TableGrid">
    <w:name w:val="Table Grid"/>
    <w:basedOn w:val="TableNormal"/>
    <w:uiPriority w:val="59"/>
    <w:rsid w:val="005C6E87"/>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E87"/>
    <w:rPr>
      <w:rFonts w:ascii="Times New Roman" w:hAnsi="Times New Roman" w:cs="Times New Roman" w:hint="default"/>
      <w:color w:val="0000FF"/>
      <w:u w:val="single"/>
      <w14:textFill>
        <w14:solidFill>
          <w14:srgbClr w14:val="000000"/>
        </w14:solidFill>
      </w14:textFill>
    </w:rPr>
  </w:style>
  <w:style w:type="table" w:styleId="TableGrid">
    <w:name w:val="Table Grid"/>
    <w:basedOn w:val="TableNormal"/>
    <w:uiPriority w:val="59"/>
    <w:rsid w:val="005C6E87"/>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727269">
      <w:bodyDiv w:val="1"/>
      <w:marLeft w:val="0"/>
      <w:marRight w:val="0"/>
      <w:marTop w:val="0"/>
      <w:marBottom w:val="0"/>
      <w:divBdr>
        <w:top w:val="none" w:sz="0" w:space="0" w:color="auto"/>
        <w:left w:val="none" w:sz="0" w:space="0" w:color="auto"/>
        <w:bottom w:val="none" w:sz="0" w:space="0" w:color="auto"/>
        <w:right w:val="none" w:sz="0" w:space="0" w:color="auto"/>
      </w:divBdr>
    </w:div>
    <w:div w:id="177277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Gaurav.Mohite2@Wellsfargo.com" TargetMode="External"/><Relationship Id="rId5" Type="http://schemas.openxmlformats.org/officeDocument/2006/relationships/hyperlink" Target="mailto:Prashanth.B.Panduranga@wellsfarg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2012</Characters>
  <Application>Microsoft Office Word</Application>
  <DocSecurity>0</DocSecurity>
  <Lines>16</Lines>
  <Paragraphs>4</Paragraphs>
  <ScaleCrop>false</ScaleCrop>
  <Company>Wells Fargo &amp; Co.</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Mohite</dc:creator>
  <cp:lastModifiedBy>Gaurav Mohite</cp:lastModifiedBy>
  <cp:revision>1</cp:revision>
  <dcterms:created xsi:type="dcterms:W3CDTF">2017-04-27T11:26:00Z</dcterms:created>
  <dcterms:modified xsi:type="dcterms:W3CDTF">2017-04-27T11:27:00Z</dcterms:modified>
</cp:coreProperties>
</file>