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b/>
          <w:bCs/>
          <w:color w:val="1F3864"/>
          <w:sz w:val="52"/>
          <w:szCs w:val="52"/>
        </w:rPr>
        <w:t xml:space="preserve">Automating the Invalidity / Validity</w:t>
      </w:r>
    </w:p>
    <w:p>
      <w:pPr>
        <w:spacing w:after="240"/>
      </w:pPr>
      <w:r>
        <w:rPr>
          <w:b/>
          <w:bCs/>
          <w:color w:val="1F3864"/>
          <w:sz w:val="52"/>
          <w:szCs w:val="52"/>
        </w:rPr>
        <w:t xml:space="preserve">Prior-Art Search Workflow</w:t>
      </w:r>
    </w:p>
    <w:p>
      <w:pPr>
        <w:pBdr>
          <w:bottom w:val="single" w:color="2E75B6" w:sz="12" w:space="4"/>
        </w:pBdr>
      </w:pPr>
      <w:r>
        <w:t xml:space="preserve"/>
      </w:r>
    </w:p>
    <w:p>
      <w:pPr>
        <w:spacing w:before="200"/>
      </w:pPr>
      <w:r>
        <w:rPr>
          <w:i/>
          <w:iCs/>
          <w:color w:val="595959"/>
          <w:sz w:val="26"/>
          <w:szCs w:val="26"/>
        </w:rPr>
        <w:t xml:space="preserve">Architecture recommendation &amp; phased implementation plan</w:t>
      </w:r>
    </w:p>
    <w:p>
      <w:pPr>
        <w:spacing w:before="600"/>
      </w:pPr>
      <w:r>
        <w:rPr>
          <w:sz w:val="22"/>
          <w:szCs w:val="22"/>
        </w:rPr>
        <w:t xml:space="preserve">Prepared for: Vishal Singh, Senior Research Analyst</w:t>
      </w:r>
    </w:p>
    <w:p>
      <w:r>
        <w:rPr>
          <w:sz w:val="22"/>
          <w:szCs w:val="22"/>
        </w:rPr>
        <w:t xml:space="preserve">Date: 13 June 2026</w:t>
      </w:r>
    </w:p>
    <w:p>
      <w:r>
        <w:rPr>
          <w:sz w:val="22"/>
          <w:szCs w:val="22"/>
        </w:rPr>
        <w:t xml:space="preserve">Status: Design draft (for review)</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Headline recommendation</w:t>
      </w:r>
    </w:p>
    <w:p>
      <w:pPr>
        <w:spacing w:after="120"/>
      </w:pPr>
      <w:r>
        <w:t xml:space="preserve">Do not build a single fully-autonomous agent that runs the project from intake to final deliverable without supervision. For invalidity and validity work the deliverable carries legal weight and is signed off in your name, a missed or fabricated reference is a serious defect, and the search judgement that distinguishes a strong analyst is exactly the part that should not be delegated blindly.</w:t>
      </w:r>
    </w:p>
    <w:p>
      <w:pPr>
        <w:spacing w:after="120"/>
      </w:pPr>
      <w:r>
        <w:t xml:space="preserve">Instead, build a modular set of specialist agents coordinated by an orchestrator, with you acting as the approval gate at every “Update” milestone. The correct mental model is an augmented pipeline: agents do the heavy, repetitive lifting (reading email trails, prosecution and priority analysis, running and de-duplicating searches, building claim matrices, drafting Updates and emails), while you review and approve before anything is finalised or sent.</w:t>
      </w:r>
    </w:p>
    <w:p>
      <w:pPr>
        <w:spacing w:after="120"/>
      </w:pPr>
      <w:r>
        <w:t xml:space="preserve">This was confirmed against your stated preference: every Update and every email is produced as a draft for your sign-off; nothing is sent or finalised automatically.</w:t>
      </w:r>
    </w:p>
    <w:p>
      <w:pPr>
        <w:pStyle w:val="Heading2"/>
      </w:pPr>
      <w:r>
        <w:t xml:space="preserve">Why modular agents rather than one monolith</w:t>
      </w:r>
    </w:p>
    <w:p>
      <w:pPr>
        <w:pStyle w:val="ListParagraph"/>
        <w:numPr>
          <w:ilvl w:val="0"/>
          <w:numId w:val="2"/>
        </w:numPr>
        <w:spacing w:after="60"/>
      </w:pPr>
      <w:r>
        <w:rPr>
          <w:b/>
          <w:bCs/>
        </w:rPr>
        <w:t xml:space="preserve">Separation of concerns —</w:t>
      </w:r>
      <w:r>
        <w:t xml:space="preserve"> each stage uses different skills, tools and prompts, so a single prompt trying to do everything is fragile and hard to debug.</w:t>
      </w:r>
    </w:p>
    <w:p>
      <w:pPr>
        <w:pStyle w:val="ListParagraph"/>
        <w:numPr>
          <w:ilvl w:val="0"/>
          <w:numId w:val="2"/>
        </w:numPr>
        <w:spacing w:after="60"/>
      </w:pPr>
      <w:r>
        <w:rPr>
          <w:b/>
          <w:bCs/>
        </w:rPr>
        <w:t xml:space="preserve">Re-runnability —</w:t>
      </w:r>
      <w:r>
        <w:t xml:space="preserve"> you can rerun the search stage without redoing the understanding memo, or regenerate a claim chart without touching the bibliography.</w:t>
      </w:r>
    </w:p>
    <w:p>
      <w:pPr>
        <w:pStyle w:val="ListParagraph"/>
        <w:numPr>
          <w:ilvl w:val="0"/>
          <w:numId w:val="2"/>
        </w:numPr>
        <w:spacing w:after="60"/>
      </w:pPr>
      <w:r>
        <w:rPr>
          <w:b/>
          <w:bCs/>
        </w:rPr>
        <w:t xml:space="preserve">Parallelism —</w:t>
      </w:r>
      <w:r>
        <w:t xml:space="preserve"> multiple search agents can fan out across databases and strategies in parallel, then merge and de-duplicate.</w:t>
      </w:r>
    </w:p>
    <w:p>
      <w:pPr>
        <w:pStyle w:val="ListParagraph"/>
        <w:numPr>
          <w:ilvl w:val="0"/>
          <w:numId w:val="2"/>
        </w:numPr>
        <w:spacing w:after="60"/>
      </w:pPr>
      <w:r>
        <w:rPr>
          <w:b/>
          <w:bCs/>
        </w:rPr>
        <w:t xml:space="preserve">Auditability —</w:t>
      </w:r>
      <w:r>
        <w:t xml:space="preserve"> each agent logs its inputs, queries and outputs, which gives you the defensible search-history trail clients expect.</w:t>
      </w:r>
    </w:p>
    <w:p>
      <w:pPr>
        <w:pStyle w:val="ListParagraph"/>
        <w:numPr>
          <w:ilvl w:val="0"/>
          <w:numId w:val="2"/>
        </w:numPr>
        <w:spacing w:after="60"/>
      </w:pPr>
      <w:r>
        <w:rPr>
          <w:b/>
          <w:bCs/>
        </w:rPr>
        <w:t xml:space="preserve">Incremental adoption —</w:t>
      </w:r>
      <w:r>
        <w:t xml:space="preserve"> a stage can be automated, semi-automated or kept manual independently, so you adopt it at your own pace.</w:t>
      </w:r>
    </w:p>
    <w:p>
      <w:pPr>
        <w:pStyle w:val="Heading1"/>
      </w:pPr>
      <w:r>
        <w:t xml:space="preserve">2. Proposed architecture</w:t>
      </w:r>
    </w:p>
    <w:p>
      <w:pPr>
        <w:spacing w:after="120"/>
      </w:pPr>
      <w:r>
        <w:t xml:space="preserve">An orchestrator sits above a set of specialist agents. It holds project state, sequences the stages, enforces your approval gates, and pauses the moment client input is required — drafting the question to the client but never sending it without you.</w:t>
      </w:r>
    </w:p>
    <w:p>
      <w:pPr>
        <w:pStyle w:val="Heading2"/>
      </w:pPr>
      <w:r>
        <w:t xml:space="preserve">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Agent</w:t>
            </w:r>
          </w:p>
        </w:tc>
        <w:tc>
          <w:tcPr>
            <w:tcW w:type="dxa" w:w="68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Responsibility</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20"/>
                <w:szCs w:val="20"/>
              </w:rPr>
              <w:t xml:space="preserve">Intake &amp; Triage</w:t>
            </w:r>
          </w:p>
        </w:tc>
        <w:tc>
          <w:tcPr>
            <w:tcW w:type="dxa" w:w="6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Reads the full email trail; extracts patent number(s), jurisdiction, deadline, scope and client asks; catalogues attachments (complaint, file history, priority docs). Produces a project brief.</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Patent Understanding</w:t>
            </w:r>
          </w:p>
        </w:tc>
        <w:tc>
          <w:tcPr>
            <w:tcW w:type="dxa" w:w="6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Deep read of the subject patent: independent/dependent claim breakdown and construction, key features, priority-chain analysis to fix the cut-off date, prosecution / file-history analysis, and complaint / litigation-document analysis.</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20"/>
                <w:szCs w:val="20"/>
              </w:rPr>
              <w:t xml:space="preserve">Prior Art Search (fan-out)</w:t>
            </w:r>
          </w:p>
        </w:tc>
        <w:tc>
          <w:tcPr>
            <w:tcW w:type="dxa" w:w="6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Generates query strategies (keywords, CPC/IPC classes, assignees, inventors, forward/backward citations); runs them across databases; de-duplicates and retrieves references.</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Shortlist &amp; Tier</w:t>
            </w:r>
          </w:p>
        </w:tc>
        <w:tc>
          <w:tcPr>
            <w:tcW w:type="dxa" w:w="6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Scores relevance and assigns Tier 1 (anticipatory / strong) vs Tier 2 (combination / relevant); maps each hit to claim elements.</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20"/>
                <w:szCs w:val="20"/>
              </w:rPr>
              <w:t xml:space="preserve">Claim Charting</w:t>
            </w:r>
          </w:p>
        </w:tc>
        <w:tc>
          <w:tcPr>
            <w:tcW w:type="dxa" w:w="6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Builds the claim matrix and the detailed Tier 1 claim chart, mapping disclosure to each limitation with verified, quoted citations.</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Report Builder</w:t>
            </w:r>
          </w:p>
        </w:tc>
        <w:tc>
          <w:tcPr>
            <w:tcW w:type="dxa" w:w="6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Assembles each Update as a Word document: understanding memo, bibliography, claim matrix, executive summary, detailed search-history log.</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20"/>
                <w:szCs w:val="20"/>
              </w:rPr>
              <w:t xml:space="preserve">Comms</w:t>
            </w:r>
          </w:p>
        </w:tc>
        <w:tc>
          <w:tcPr>
            <w:tcW w:type="dxa" w:w="6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Drafts the update email for your review. Never auto-sends.</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Orchestrator</w:t>
            </w:r>
          </w:p>
        </w:tc>
        <w:tc>
          <w:tcPr>
            <w:tcW w:type="dxa" w:w="6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Sequences stages, enforces gates, manages state, and handles the “client input needed → ask Vishal first” pause.</w:t>
            </w:r>
          </w:p>
        </w:tc>
      </w:tr>
    </w:tbl>
    <w:p>
      <w:r>
        <w:br w:type="page"/>
      </w:r>
    </w:p>
    <w:p>
      <w:pPr>
        <w:pStyle w:val="Heading1"/>
      </w:pPr>
      <w:r>
        <w:t xml:space="preserve">3. Your flow mapped to agents and approval gates</w:t>
      </w:r>
    </w:p>
    <w:p>
      <w:pPr>
        <w:spacing w:after="120"/>
      </w:pPr>
      <w:r>
        <w:t xml:space="preserve">The table below maps your existing process step-by-step onto the agents above and marks where you sign off. Bold rows are the four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600"/>
        <w:gridCol w:w="3000"/>
      </w:tblGrid>
      <w:tr>
        <w:trPr>
          <w:tblHeader/>
        </w:trPr>
        <w:tc>
          <w:tcPr>
            <w:tcW w:type="dxa" w:w="2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Process step</w:t>
            </w:r>
          </w:p>
        </w:tc>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Agent(s)</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Your gate</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Project arrives / assigned; read email trail</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Intake &amp; Triage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Approve project brief</w:t>
            </w:r>
          </w:p>
        </w:tc>
      </w:tr>
      <w:tr>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Initial validity search + understanding</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Understanding + Search</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FIRST UPDATE: understanding + file history + complaint + priority/cut-off + initial art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Understanding + Search + Report + Comms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Approve cut-off date, Update &amp; email</w:t>
            </w:r>
          </w:p>
        </w:tc>
      </w:tr>
      <w:tr>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Detailed prior-art search</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Search (fan-out)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Approve search strategy</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SECOND UPDATE: new art + detailed shortlist + T1/T2 claim matrix</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Shortlist + Charting + Report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Approve Update &amp; email</w:t>
            </w:r>
          </w:p>
        </w:tc>
      </w:tr>
      <w:tr>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Further prior-art search</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Search</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PRE-FINAL UPDATE: full bibliography + all T1/T2 matrix + executive summary + detailed search history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Report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Approve Update &amp; email</w:t>
            </w:r>
          </w:p>
        </w:tc>
      </w:tr>
      <w:tr>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More search if no Tier 1 yet</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Search</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Your call to continue</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FINAL UPDATE: pre-final content + Tier 1 claim chart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Charting + Report + Comms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Approve Update &amp; email</w:t>
            </w:r>
          </w:p>
        </w:tc>
      </w:tr>
    </w:tbl>
    <w:p>
      <w:pPr>
        <w:pStyle w:val="Heading1"/>
      </w:pPr>
      <w:r>
        <w:t xml:space="preserve">4. Tooling and connector strategy</w:t>
      </w:r>
    </w:p>
    <w:p>
      <w:pPr>
        <w:pStyle w:val="Heading2"/>
      </w:pPr>
      <w:r>
        <w:t xml:space="preserve">Search databases — a hybrid layer</w:t>
      </w:r>
    </w:p>
    <w:p>
      <w:pPr>
        <w:spacing w:after="120"/>
      </w:pPr>
      <w:r>
        <w:t xml:space="preserve">You use all four tiers of source, which cannot be automated the same way, so the search layer is deliberately hybrid:</w:t>
      </w:r>
    </w:p>
    <w:p>
      <w:pPr>
        <w:pStyle w:val="ListParagraph"/>
        <w:numPr>
          <w:ilvl w:val="0"/>
          <w:numId w:val="2"/>
        </w:numPr>
        <w:spacing w:after="60"/>
      </w:pPr>
      <w:r>
        <w:rPr>
          <w:b/>
          <w:bCs/>
        </w:rPr>
        <w:t xml:space="preserve">API-automatable — </w:t>
      </w:r>
      <w:r>
        <w:t xml:space="preserve"> Google Patents (incl. BigQuery), Lens.org, EPO OPS, USPTO and PatentsView expose APIs. Agents can run these searches directly, end to end.</w:t>
      </w:r>
    </w:p>
    <w:p>
      <w:pPr>
        <w:pStyle w:val="ListParagraph"/>
        <w:numPr>
          <w:ilvl w:val="0"/>
          <w:numId w:val="2"/>
        </w:numPr>
        <w:spacing w:after="60"/>
      </w:pPr>
      <w:r>
        <w:rPr>
          <w:b/>
          <w:bCs/>
        </w:rPr>
        <w:t xml:space="preserve">Browser-driven — </w:t>
      </w:r>
      <w:r>
        <w:t xml:space="preserve"> PatBase, Orbit, Derwent Innovation and Espacenet are largely GUI-bound. These run through browser automation driving your logged-in session, on a best-effort basis.</w:t>
      </w:r>
    </w:p>
    <w:p>
      <w:pPr>
        <w:pStyle w:val="ListParagraph"/>
        <w:numPr>
          <w:ilvl w:val="0"/>
          <w:numId w:val="2"/>
        </w:numPr>
        <w:spacing w:after="60"/>
      </w:pPr>
      <w:r>
        <w:rPr>
          <w:b/>
          <w:bCs/>
        </w:rPr>
        <w:t xml:space="preserve">Manual paste-in — </w:t>
      </w:r>
      <w:r>
        <w:t xml:space="preserve"> for any commercial tool where automation is brittle, the agent prepares the query set and you paste exported results back in. This keeps quality under your control.</w:t>
      </w:r>
    </w:p>
    <w:p>
      <w:pPr>
        <w:spacing w:after="120"/>
      </w:pPr>
      <w:r>
        <w:t xml:space="preserve">Practical stance: fully automate the API-tier searches, treat browser automation of the commercial tools as an accelerator rather than a guarantee, and always keep the manual path as a fallback.</w:t>
      </w:r>
    </w:p>
    <w:p>
      <w:pPr>
        <w:pStyle w:val="Heading2"/>
      </w:pPr>
      <w:r>
        <w:t xml:space="preserve">Documents and email — the Microsoft-stack gap</w:t>
      </w:r>
    </w:p>
    <w:p>
      <w:pPr>
        <w:spacing w:after="120"/>
      </w:pPr>
      <w:r>
        <w:t xml:space="preserve">Projects arrive in Outlook and deliverables live in SharePoint / OneDrive. There is currently no native Outlook or SharePoint connector available in this environment (only Gmail). Two workable paths close the gap:</w:t>
      </w:r>
    </w:p>
    <w:p>
      <w:pPr>
        <w:pStyle w:val="ListParagraph"/>
        <w:numPr>
          <w:ilvl w:val="0"/>
          <w:numId w:val="2"/>
        </w:numPr>
        <w:spacing w:after="60"/>
      </w:pPr>
      <w:r>
        <w:rPr>
          <w:b/>
          <w:bCs/>
        </w:rPr>
        <w:t xml:space="preserve">Local-folder bridge (recommended) — </w:t>
      </w:r>
      <w:r>
        <w:t xml:space="preserve"> point the system at your OneDrive / SharePoint sync folder on this machine. Inputs are read from it and every deliverable (Word Updates, claim charts, search logs) is written straight into it, syncing back to SharePoint automatically. This covers all document flow without a connector and is the recommended path.</w:t>
      </w:r>
    </w:p>
    <w:p>
      <w:pPr>
        <w:pStyle w:val="ListParagraph"/>
        <w:numPr>
          <w:ilvl w:val="0"/>
          <w:numId w:val="2"/>
        </w:numPr>
        <w:spacing w:after="60"/>
      </w:pPr>
      <w:r>
        <w:rPr>
          <w:b/>
          <w:bCs/>
        </w:rPr>
        <w:t xml:space="preserve">Browser automation for Outlook — </w:t>
      </w:r>
      <w:r>
        <w:t xml:space="preserve"> the Comms agent drafts update emails directly in Outlook Web via browser automation, leaving them in your Drafts for review. Functional but slower and more brittle than a true connector; revisit if/when a Microsoft 365 connector becomes available.</w:t>
      </w:r>
    </w:p>
    <w:p>
      <w:pPr>
        <w:pStyle w:val="Heading1"/>
      </w:pPr>
      <w:r>
        <w:t xml:space="preserve">5. Human-in-the-loop gates and the client-input rule</w:t>
      </w:r>
    </w:p>
    <w:p>
      <w:pPr>
        <w:spacing w:after="120"/>
      </w:pPr>
      <w:r>
        <w:t xml:space="preserve">Per your instruction, the system is draft-everything / you-approve-all. Concretely:</w:t>
      </w:r>
    </w:p>
    <w:p>
      <w:pPr>
        <w:pStyle w:val="ListParagraph"/>
        <w:numPr>
          <w:ilvl w:val="0"/>
          <w:numId w:val="2"/>
        </w:numPr>
        <w:spacing w:after="60"/>
      </w:pPr>
      <w:r>
        <w:rPr>
          <w:b/>
          <w:bCs/>
        </w:rPr>
        <w:t xml:space="preserve">Hard rule — </w:t>
      </w:r>
      <w:r>
        <w:t xml:space="preserve"> no email is ever sent and no deliverable is ever marked final without your explicit approval.</w:t>
      </w:r>
    </w:p>
    <w:p>
      <w:pPr>
        <w:pStyle w:val="ListParagraph"/>
        <w:numPr>
          <w:ilvl w:val="0"/>
          <w:numId w:val="2"/>
        </w:numPr>
        <w:spacing w:after="60"/>
      </w:pPr>
      <w:r>
        <w:rPr>
          <w:b/>
          <w:bCs/>
        </w:rPr>
        <w:t xml:space="preserve">Gate points — </w:t>
      </w:r>
      <w:r>
        <w:t xml:space="preserve"> project brief, cut-off date, search strategy, and each of the four Updates (with its email).</w:t>
      </w:r>
    </w:p>
    <w:p>
      <w:pPr>
        <w:pStyle w:val="ListParagraph"/>
        <w:numPr>
          <w:ilvl w:val="0"/>
          <w:numId w:val="2"/>
        </w:numPr>
        <w:spacing w:after="60"/>
      </w:pPr>
      <w:r>
        <w:rPr>
          <w:b/>
          <w:bCs/>
        </w:rPr>
        <w:t xml:space="preserve">Client-input pause — </w:t>
      </w:r>
      <w:r>
        <w:t xml:space="preserve"> if at any stage an input is needed from the client, the orchestrator stops, drafts the question for the client, and surfaces it to you first. You decide whether and how it goes out.</w:t>
      </w:r>
    </w:p>
    <w:p>
      <w:pPr>
        <w:pStyle w:val="Heading1"/>
      </w:pPr>
      <w:r>
        <w:t xml:space="preserve">6. Quality safeguards (non-negotiable)</w:t>
      </w:r>
    </w:p>
    <w:p>
      <w:pPr>
        <w:spacing w:after="120"/>
      </w:pPr>
      <w:r>
        <w:t xml:space="preserve">The single greatest risk in automating prior-art work is a hallucinated or misquoted reference. The design treats this as a first-class concern:</w:t>
      </w:r>
    </w:p>
    <w:p>
      <w:pPr>
        <w:pStyle w:val="ListParagraph"/>
        <w:numPr>
          <w:ilvl w:val="0"/>
          <w:numId w:val="2"/>
        </w:numPr>
        <w:spacing w:after="60"/>
      </w:pPr>
      <w:r>
        <w:rPr>
          <w:b/>
          <w:bCs/>
        </w:rPr>
        <w:t xml:space="preserve">Reference existence check — </w:t>
      </w:r>
      <w:r>
        <w:t xml:space="preserve"> every reference cited must be a real, retrievable document with a verifiable identifier (publication number, URL or database record).</w:t>
      </w:r>
    </w:p>
    <w:p>
      <w:pPr>
        <w:pStyle w:val="ListParagraph"/>
        <w:numPr>
          <w:ilvl w:val="0"/>
          <w:numId w:val="2"/>
        </w:numPr>
        <w:spacing w:after="60"/>
      </w:pPr>
      <w:r>
        <w:rPr>
          <w:b/>
          <w:bCs/>
        </w:rPr>
        <w:t xml:space="preserve">Quote verification — </w:t>
      </w:r>
      <w:r>
        <w:t xml:space="preserve"> each limitation mapped in a claim chart must quote the actual text of the reference, traced back to the retrieved document — no paraphrase substituted for a cited disclosure.</w:t>
      </w:r>
    </w:p>
    <w:p>
      <w:pPr>
        <w:pStyle w:val="ListParagraph"/>
        <w:numPr>
          <w:ilvl w:val="0"/>
          <w:numId w:val="2"/>
        </w:numPr>
        <w:spacing w:after="60"/>
      </w:pPr>
      <w:r>
        <w:rPr>
          <w:b/>
          <w:bCs/>
        </w:rPr>
        <w:t xml:space="preserve">Independent verification — </w:t>
      </w:r>
      <w:r>
        <w:t xml:space="preserve"> a dedicated verification pass (ideally a separate agent) re-checks the final claim chart and bibliography against retrieved sources before the deliverable reaches you.</w:t>
      </w:r>
    </w:p>
    <w:p>
      <w:pPr>
        <w:pStyle w:val="ListParagraph"/>
        <w:numPr>
          <w:ilvl w:val="0"/>
          <w:numId w:val="2"/>
        </w:numPr>
        <w:spacing w:after="60"/>
      </w:pPr>
      <w:r>
        <w:rPr>
          <w:b/>
          <w:bCs/>
        </w:rPr>
        <w:t xml:space="preserve">Search-history logging — </w:t>
      </w:r>
      <w:r>
        <w:t xml:space="preserve"> every query, database, date and result count is logged so the search history is reproducible and defensible.</w:t>
      </w:r>
    </w:p>
    <w:p>
      <w:r>
        <w:br w:type="page"/>
      </w:r>
    </w:p>
    <w:p>
      <w:pPr>
        <w:pStyle w:val="Heading1"/>
      </w:pPr>
      <w:r>
        <w:t xml:space="preserve">7. Phased rollout</w:t>
      </w:r>
    </w:p>
    <w:p>
      <w:pPr>
        <w:spacing w:after="120"/>
      </w:pPr>
      <w:r>
        <w:t xml:space="preserve">Build in phases so you gain value early at low risk, and so each layer is validated before the next depends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Phase</w:t>
            </w:r>
          </w:p>
        </w:tc>
        <w:tc>
          <w:tcPr>
            <w:tcW w:type="dxa" w:w="3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Scope</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Why first / notes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20"/>
                <w:szCs w:val="20"/>
              </w:rPr>
              <w:t xml:space="preserve">Phase 1</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Intake &amp; Triage + Understanding memo + Report scaffolding + email drafts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Highest leverage, zero send-risk, no connector needed. Runs on the local-folder bridge: you drop the email trail and attachments in a folder, agents produce the brief, understanding memo (claims, file history, complaint, priority/cut-off) and the First Update as drafts.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Phase 2</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API-tier search fan-out (Google Patents, Lens, EPO, USPTO, PatentsView) with de-dup and tiering</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Feeds the Second Update matrix. Gated on confirming API access for each source.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20"/>
                <w:szCs w:val="20"/>
              </w:rPr>
              <w:t xml:space="preserve">Phase 3</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Claim matrix + Tier 1 claim charting with mandatory citation verification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The highest-value, highest-risk content; built only after the verification safeguards are in place.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Phase 4</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Browser-automation layer for PatBase / Orbit / Espacenet and Outlook drafts, plus the Orchestrator tying stages together with your gates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Completes end-to-end coordination and the client-input pause. Built last because it depends on the earlier stages being stable.</w:t>
            </w:r>
          </w:p>
        </w:tc>
      </w:tr>
    </w:tbl>
    <w:p>
      <w:pPr>
        <w:pStyle w:val="Heading1"/>
      </w:pPr>
      <w:r>
        <w:t xml:space="preserve">8. Open items and next steps</w:t>
      </w:r>
    </w:p>
    <w:p>
      <w:pPr>
        <w:spacing w:after="120"/>
      </w:pPr>
      <w:r>
        <w:t xml:space="preserve">Confirmed so far: modular agents with you as approval gate; draft-everything / approve-all autonomy; all four database tiers in scope; Outlook + SharePoint environment; Word as the deliverable format; design-first before connecting a live folder.</w:t>
      </w:r>
    </w:p>
    <w:p>
      <w:pPr>
        <w:spacing w:after="120"/>
      </w:pPr>
      <w:r>
        <w:t xml:space="preserve">To move from design to Phase 1 build, the following are still useful to pin down:</w:t>
      </w:r>
    </w:p>
    <w:p>
      <w:pPr>
        <w:pStyle w:val="ListParagraph"/>
        <w:numPr>
          <w:ilvl w:val="0"/>
          <w:numId w:val="2"/>
        </w:numPr>
        <w:spacing w:after="60"/>
      </w:pPr>
      <w:r>
        <w:t xml:space="preserve"> Word templates for each Update (a sample of each — First, Second, Pre-final, Final — lets the Report Builder match your house style exactly).</w:t>
      </w:r>
    </w:p>
    <w:p>
      <w:pPr>
        <w:pStyle w:val="ListParagraph"/>
        <w:numPr>
          <w:ilvl w:val="0"/>
          <w:numId w:val="2"/>
        </w:numPr>
        <w:spacing w:after="60"/>
      </w:pPr>
      <w:r>
        <w:t xml:space="preserve"> Your tiering definitions in writing (what makes a result Tier 1 vs Tier 2 in your practice).</w:t>
      </w:r>
    </w:p>
    <w:p>
      <w:pPr>
        <w:pStyle w:val="ListParagraph"/>
        <w:numPr>
          <w:ilvl w:val="0"/>
          <w:numId w:val="2"/>
        </w:numPr>
        <w:spacing w:after="60"/>
      </w:pPr>
      <w:r>
        <w:t xml:space="preserve"> Confirmation of which API sources you already have credentials/access for.</w:t>
      </w:r>
    </w:p>
    <w:p>
      <w:pPr>
        <w:pStyle w:val="ListParagraph"/>
        <w:numPr>
          <w:ilvl w:val="0"/>
          <w:numId w:val="2"/>
        </w:numPr>
        <w:spacing w:after="60"/>
      </w:pPr>
      <w:r>
        <w:t xml:space="preserve"> When ready, a OneDrive / SharePoint sync folder to wire up the local-folder bridge.</w:t>
      </w:r>
    </w:p>
    <w:p>
      <w:pPr>
        <w:spacing w:after="120"/>
      </w:pPr>
      <w:r>
        <w:rPr>
          <w:i/>
          <w:iCs/>
        </w:rPr>
        <w:t xml:space="preserve">On request, the next deliverable can be a working Phase 1 skeleton: a folder structure, the Intake &amp; Triage and Understanding prompts, and a First Update Word template populated from a sample project.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Prior-Art Workflow Automation — Design Draft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Automating the Invalidity / Validity Prior-Art Search Workflow</dc:title>
  <dc:creator>Cowork</dc:creator>
  <cp:lastModifiedBy>Un-named</cp:lastModifiedBy>
  <cp:revision>1</cp:revision>
  <dcterms:created xsi:type="dcterms:W3CDTF">2026-06-12T18:57:56.823Z</dcterms:created>
  <dcterms:modified xsi:type="dcterms:W3CDTF">2026-06-12T18:57:56.823Z</dcterms:modified>
</cp:coreProperties>
</file>

<file path=docProps/custom.xml><?xml version="1.0" encoding="utf-8"?>
<Properties xmlns="http://schemas.openxmlformats.org/officeDocument/2006/custom-properties" xmlns:vt="http://schemas.openxmlformats.org/officeDocument/2006/docPropsVTypes"/>
</file>