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0" w:after="0" w:line="276" w:lineRule="auto"/>
        <w:jc w:val="both"/>
      </w:pPr>
    </w:p>
    <w:p>
      <w:pPr>
        <w:spacing w:before="0" w:after="0" w:line="276" w:lineRule="auto"/>
        <w:jc w:val="both"/>
      </w:pPr>
    </w:p>
    <w:p>
      <w:pPr>
        <w:spacing w:before="0" w:after="0" w:line="276" w:lineRule="auto"/>
        <w:jc w:val="both"/>
      </w:pPr>
    </w:p>
    <w:p>
      <w:pPr>
        <w:spacing w:before="0" w:after="120" w:line="276" w:lineRule="auto"/>
        <w:jc w:val="center"/>
      </w:pPr>
      <w:r>
        <w:rPr>
          <w:rFonts w:ascii="Times New Roman" w:hAnsi="Times New Roman" w:cs="Times New Roman"/>
          <w:color w:val="595959"/>
          <w:sz w:val="24"/>
          <w:szCs w:val="24"/>
        </w:rPr>
        <w:t xml:space="preserve">A Project Report on</w:t>
      </w:r>
    </w:p>
    <w:p>
      <w:pPr>
        <w:spacing w:before="240" w:after="120" w:line="276" w:lineRule="auto"/>
        <w:jc w:val="center"/>
      </w:pPr>
      <w:r>
        <w:rPr>
          <w:rFonts w:ascii="Times New Roman" w:hAnsi="Times New Roman" w:cs="Times New Roman"/>
          <w:b/>
          <w:color w:val="1F4E79"/>
          <w:sz w:val="56"/>
          <w:szCs w:val="56"/>
        </w:rPr>
        <w:t xml:space="preserve">PRISMORA</w:t>
      </w:r>
    </w:p>
    <w:p>
      <w:pPr>
        <w:spacing w:before="0" w:after="120" w:line="276" w:lineRule="auto"/>
        <w:jc w:val="center"/>
      </w:pPr>
      <w:r>
        <w:rPr>
          <w:rFonts w:ascii="Times New Roman" w:hAnsi="Times New Roman" w:cs="Times New Roman"/>
          <w:i/>
          <w:color w:val="595959"/>
          <w:sz w:val="26"/>
          <w:szCs w:val="26"/>
        </w:rPr>
        <w:t xml:space="preserve">An Integrated Distribution Management, CRM and ERP Platform with an Embedded Natural Language Intelligence Layer</w:t>
      </w:r>
    </w:p>
    <w:p>
      <w:pPr>
        <w:spacing w:before="0" w:after="0" w:line="276" w:lineRule="auto"/>
        <w:jc w:val="both"/>
      </w:pPr>
    </w:p>
    <w:p>
      <w:pPr>
        <w:spacing w:before="0" w:after="0" w:line="276" w:lineRule="auto"/>
        <w:jc w:val="both"/>
      </w:pPr>
    </w:p>
    <w:p>
      <w:pPr>
        <w:spacing w:before="0" w:after="100" w:line="276" w:lineRule="auto"/>
        <w:jc w:val="center"/>
      </w:pPr>
      <w:r>
        <w:rPr>
          <w:rFonts w:ascii="Times New Roman" w:hAnsi="Times New Roman" w:cs="Times New Roman"/>
          <w:color w:val="000000"/>
          <w:sz w:val="24"/>
          <w:szCs w:val="24"/>
        </w:rPr>
        <w:t xml:space="preserve">Submitted in partial fulfilment of the requirements for the</w:t>
      </w:r>
    </w:p>
    <w:p>
      <w:pPr>
        <w:spacing w:before="0" w:after="100" w:line="276" w:lineRule="auto"/>
        <w:jc w:val="center"/>
      </w:pPr>
      <w:r>
        <w:rPr>
          <w:rFonts w:ascii="Times New Roman" w:hAnsi="Times New Roman" w:cs="Times New Roman"/>
          <w:color w:val="000000"/>
          <w:sz w:val="24"/>
          <w:szCs w:val="24"/>
        </w:rPr>
        <w:t xml:space="preserve">Artificial Intelligence Internship Programme</w:t>
      </w:r>
    </w:p>
    <w:p>
      <w:pPr>
        <w:spacing w:before="0" w:after="0" w:line="276" w:lineRule="auto"/>
        <w:jc w:val="both"/>
      </w:pPr>
    </w:p>
    <w:p>
      <w:pPr>
        <w:spacing w:before="0" w:after="0" w:line="276" w:lineRule="auto"/>
        <w:jc w:val="both"/>
      </w:pPr>
    </w:p>
    <w:p>
      <w:pPr>
        <w:spacing w:before="0" w:after="100" w:line="276" w:lineRule="auto"/>
        <w:jc w:val="center"/>
      </w:pPr>
      <w:r>
        <w:rPr>
          <w:rFonts w:ascii="Times New Roman" w:hAnsi="Times New Roman" w:cs="Times New Roman"/>
          <w:b/>
          <w:color w:val="000000"/>
          <w:sz w:val="24"/>
          <w:szCs w:val="24"/>
        </w:rPr>
        <w:t xml:space="preserve">Submitted by</w:t>
      </w:r>
    </w:p>
    <w:p>
      <w:pPr>
        <w:spacing w:before="0" w:after="100" w:line="276" w:lineRule="auto"/>
        <w:jc w:val="center"/>
      </w:pPr>
      <w:r>
        <w:rPr>
          <w:rFonts w:ascii="Times New Roman" w:hAnsi="Times New Roman" w:cs="Times New Roman"/>
          <w:color w:val="000000"/>
          <w:sz w:val="28"/>
          <w:szCs w:val="28"/>
        </w:rPr>
        <w:t xml:space="preserve">[Your Full Name]</w:t>
      </w:r>
    </w:p>
    <w:p>
      <w:pPr>
        <w:spacing w:before="0" w:after="100" w:line="276" w:lineRule="auto"/>
        <w:jc w:val="center"/>
      </w:pPr>
      <w:r>
        <w:rPr>
          <w:rFonts w:ascii="Times New Roman" w:hAnsi="Times New Roman" w:cs="Times New Roman"/>
          <w:color w:val="000000"/>
          <w:sz w:val="24"/>
          <w:szCs w:val="24"/>
        </w:rPr>
        <w:t xml:space="preserve">Enrolment No.: [Enrolment Number]</w:t>
      </w:r>
    </w:p>
    <w:p>
      <w:pPr>
        <w:spacing w:before="0" w:after="0" w:line="276" w:lineRule="auto"/>
        <w:jc w:val="both"/>
      </w:pPr>
    </w:p>
    <w:p>
      <w:pPr>
        <w:spacing w:before="0" w:after="100" w:line="276" w:lineRule="auto"/>
        <w:jc w:val="center"/>
      </w:pPr>
      <w:r>
        <w:rPr>
          <w:rFonts w:ascii="Times New Roman" w:hAnsi="Times New Roman" w:cs="Times New Roman"/>
          <w:b/>
          <w:color w:val="000000"/>
          <w:sz w:val="24"/>
          <w:szCs w:val="24"/>
        </w:rPr>
        <w:t xml:space="preserve">Under the Guidance of</w:t>
      </w:r>
    </w:p>
    <w:p>
      <w:pPr>
        <w:spacing w:before="0" w:after="100" w:line="276" w:lineRule="auto"/>
        <w:jc w:val="center"/>
      </w:pPr>
      <w:r>
        <w:rPr>
          <w:rFonts w:ascii="Times New Roman" w:hAnsi="Times New Roman" w:cs="Times New Roman"/>
          <w:color w:val="000000"/>
          <w:sz w:val="24"/>
          <w:szCs w:val="24"/>
        </w:rPr>
        <w:t xml:space="preserve">[Faculty Guide Name]     |     [Industry Mentor Name]</w:t>
      </w:r>
    </w:p>
    <w:p>
      <w:pPr>
        <w:spacing w:before="0" w:after="0" w:line="276" w:lineRule="auto"/>
        <w:jc w:val="both"/>
      </w:pPr>
    </w:p>
    <w:p>
      <w:pPr>
        <w:spacing w:before="0" w:after="100" w:line="276" w:lineRule="auto"/>
        <w:jc w:val="center"/>
      </w:pPr>
      <w:r>
        <w:rPr>
          <w:rFonts w:ascii="Times New Roman" w:hAnsi="Times New Roman" w:cs="Times New Roman"/>
          <w:b/>
          <w:color w:val="000000"/>
          <w:sz w:val="24"/>
          <w:szCs w:val="24"/>
        </w:rPr>
        <w:t xml:space="preserve">Organisation</w:t>
      </w:r>
    </w:p>
    <w:p>
      <w:pPr>
        <w:spacing w:before="0" w:after="100" w:line="276" w:lineRule="auto"/>
        <w:jc w:val="center"/>
      </w:pPr>
      <w:r>
        <w:rPr>
          <w:rFonts w:ascii="Times New Roman" w:hAnsi="Times New Roman" w:cs="Times New Roman"/>
          <w:color w:val="000000"/>
          <w:sz w:val="24"/>
          <w:szCs w:val="24"/>
        </w:rPr>
        <w:t xml:space="preserve">[Company Name]</w:t>
      </w:r>
    </w:p>
    <w:p>
      <w:pPr>
        <w:spacing w:before="0" w:after="0" w:line="276" w:lineRule="auto"/>
        <w:jc w:val="both"/>
      </w:pPr>
    </w:p>
    <w:p>
      <w:pPr>
        <w:spacing w:before="0" w:after="0" w:line="276" w:lineRule="auto"/>
        <w:jc w:val="both"/>
      </w:pPr>
    </w:p>
    <w:p>
      <w:pPr>
        <w:spacing w:before="0" w:after="100" w:line="276" w:lineRule="auto"/>
        <w:jc w:val="center"/>
      </w:pPr>
      <w:r>
        <w:rPr>
          <w:rFonts w:ascii="Times New Roman" w:hAnsi="Times New Roman" w:cs="Times New Roman"/>
          <w:color w:val="000000"/>
          <w:sz w:val="24"/>
          <w:szCs w:val="24"/>
        </w:rPr>
        <w:t xml:space="preserve">Department of Computer Science and Engineering</w:t>
      </w:r>
    </w:p>
    <w:p>
      <w:pPr>
        <w:spacing w:before="0" w:after="100" w:line="276" w:lineRule="auto"/>
        <w:jc w:val="center"/>
      </w:pPr>
      <w:r>
        <w:rPr>
          <w:rFonts w:ascii="Times New Roman" w:hAnsi="Times New Roman" w:cs="Times New Roman"/>
          <w:color w:val="000000"/>
          <w:sz w:val="24"/>
          <w:szCs w:val="24"/>
        </w:rPr>
        <w:t xml:space="preserve">[University / Institute Name]</w:t>
      </w:r>
    </w:p>
    <w:p>
      <w:pPr>
        <w:spacing w:before="0" w:after="100" w:line="276" w:lineRule="auto"/>
        <w:jc w:val="center"/>
      </w:pPr>
      <w:r>
        <w:rPr>
          <w:rFonts w:ascii="Times New Roman" w:hAnsi="Times New Roman" w:cs="Times New Roman"/>
          <w:color w:val="000000"/>
          <w:sz w:val="24"/>
          <w:szCs w:val="24"/>
        </w:rPr>
        <w:t xml:space="preserve">[Month, Year]</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Student Declaration</w:t>
      </w:r>
    </w:p>
    <w:p>
      <w:pPr>
        <w:spacing w:before="0" w:after="120" w:line="276" w:lineRule="auto"/>
        <w:jc w:val="both"/>
      </w:pPr>
      <w:r>
        <w:rPr>
          <w:rFonts w:ascii="Times New Roman" w:hAnsi="Times New Roman" w:cs="Times New Roman"/>
          <w:color w:val="000000"/>
          <w:sz w:val="22"/>
          <w:szCs w:val="22"/>
        </w:rPr>
        <w:t xml:space="preserve">I, </w:t>
      </w:r>
      <w:r>
        <w:rPr>
          <w:rFonts w:ascii="Times New Roman" w:hAnsi="Times New Roman" w:cs="Times New Roman"/>
          <w:b/>
          <w:color w:val="000000"/>
          <w:sz w:val="22"/>
          <w:szCs w:val="22"/>
        </w:rPr>
        <w:t xml:space="preserve">[Your Full Name]</w:t>
      </w:r>
      <w:r>
        <w:rPr>
          <w:rFonts w:ascii="Times New Roman" w:hAnsi="Times New Roman" w:cs="Times New Roman"/>
          <w:color w:val="000000"/>
          <w:sz w:val="22"/>
          <w:szCs w:val="22"/>
        </w:rPr>
        <w:t xml:space="preserve">, bearing enrolment number </w:t>
      </w:r>
      <w:r>
        <w:rPr>
          <w:rFonts w:ascii="Times New Roman" w:hAnsi="Times New Roman" w:cs="Times New Roman"/>
          <w:b/>
          <w:color w:val="000000"/>
          <w:sz w:val="22"/>
          <w:szCs w:val="22"/>
        </w:rPr>
        <w:t xml:space="preserve">[Enrolment Number]</w:t>
      </w:r>
      <w:r>
        <w:rPr>
          <w:rFonts w:ascii="Times New Roman" w:hAnsi="Times New Roman" w:cs="Times New Roman"/>
          <w:color w:val="000000"/>
          <w:sz w:val="22"/>
          <w:szCs w:val="22"/>
        </w:rPr>
        <w:t xml:space="preserve">, hereby declare that the project report entitled </w:t>
      </w:r>
      <w:r>
        <w:rPr>
          <w:rFonts w:ascii="Times New Roman" w:hAnsi="Times New Roman" w:cs="Times New Roman"/>
          <w:b/>
          <w:color w:val="000000"/>
          <w:sz w:val="22"/>
          <w:szCs w:val="22"/>
        </w:rPr>
        <w:t xml:space="preserve">“Prismora — An Integrated Distribution Management, CRM and ERP Platform with an Embedded Natural Language Intelligence Layer”</w:t>
      </w:r>
      <w:r>
        <w:rPr>
          <w:rFonts w:ascii="Times New Roman" w:hAnsi="Times New Roman" w:cs="Times New Roman"/>
          <w:color w:val="000000"/>
          <w:sz w:val="22"/>
          <w:szCs w:val="22"/>
        </w:rPr>
        <w:t xml:space="preserve">, submitted to </w:t>
      </w:r>
      <w:r>
        <w:rPr>
          <w:rFonts w:ascii="Times New Roman" w:hAnsi="Times New Roman" w:cs="Times New Roman"/>
          <w:b/>
          <w:color w:val="000000"/>
          <w:sz w:val="22"/>
          <w:szCs w:val="22"/>
        </w:rPr>
        <w:t xml:space="preserve">[University / Institute Name]</w:t>
      </w:r>
      <w:r>
        <w:rPr>
          <w:rFonts w:ascii="Times New Roman" w:hAnsi="Times New Roman" w:cs="Times New Roman"/>
          <w:color w:val="000000"/>
          <w:sz w:val="22"/>
          <w:szCs w:val="22"/>
        </w:rPr>
        <w:t xml:space="preserve">, is a record of original work carried out by me during my internship at </w:t>
      </w:r>
      <w:r>
        <w:rPr>
          <w:rFonts w:ascii="Times New Roman" w:hAnsi="Times New Roman" w:cs="Times New Roman"/>
          <w:b/>
          <w:color w:val="000000"/>
          <w:sz w:val="22"/>
          <w:szCs w:val="22"/>
        </w:rPr>
        <w:t xml:space="preserve">[Company Name]</w:t>
      </w:r>
      <w:r>
        <w:rPr>
          <w:rFonts w:ascii="Times New Roman" w:hAnsi="Times New Roman" w:cs="Times New Roman"/>
          <w:color w:val="000000"/>
          <w:sz w:val="22"/>
          <w:szCs w:val="22"/>
        </w:rPr>
        <w:t xml:space="preserve"> from </w:t>
      </w:r>
      <w:r>
        <w:rPr>
          <w:rFonts w:ascii="Times New Roman" w:hAnsi="Times New Roman" w:cs="Times New Roman"/>
          <w:b/>
          <w:color w:val="000000"/>
          <w:sz w:val="22"/>
          <w:szCs w:val="22"/>
        </w:rPr>
        <w:t xml:space="preserve">[Start Date]</w:t>
      </w:r>
      <w:r>
        <w:rPr>
          <w:rFonts w:ascii="Times New Roman" w:hAnsi="Times New Roman" w:cs="Times New Roman"/>
          <w:color w:val="000000"/>
          <w:sz w:val="22"/>
          <w:szCs w:val="22"/>
        </w:rPr>
        <w:t xml:space="preserve"> to </w:t>
      </w:r>
      <w:r>
        <w:rPr>
          <w:rFonts w:ascii="Times New Roman" w:hAnsi="Times New Roman" w:cs="Times New Roman"/>
          <w:b/>
          <w:color w:val="000000"/>
          <w:sz w:val="22"/>
          <w:szCs w:val="22"/>
        </w:rPr>
        <w:t xml:space="preserve">[End Date]</w:t>
      </w:r>
      <w:r>
        <w:rPr>
          <w:rFonts w:ascii="Times New Roman" w:hAnsi="Times New Roman" w:cs="Times New Roman"/>
          <w:color w:val="000000"/>
          <w:sz w:val="22"/>
          <w:szCs w:val="22"/>
        </w:rPr>
        <w:t xml:space="preserve">.</w:t>
      </w:r>
    </w:p>
    <w:p>
      <w:pPr>
        <w:spacing w:before="0" w:after="120" w:line="276" w:lineRule="auto"/>
        <w:jc w:val="both"/>
      </w:pPr>
      <w:r>
        <w:rPr>
          <w:rFonts w:ascii="Times New Roman" w:hAnsi="Times New Roman" w:cs="Times New Roman"/>
          <w:color w:val="000000"/>
          <w:sz w:val="22"/>
          <w:szCs w:val="22"/>
        </w:rPr>
        <w:t xml:space="preserve">The system analysis, database design, module implementation, role-based access control model, natural language processing engine, machine learning classifier and the experimental evaluation presented in this report constitute my own work. All external sources consulted have been acknowledged in the References section.</w:t>
      </w:r>
    </w:p>
    <w:p>
      <w:pPr>
        <w:spacing w:before="0" w:after="120" w:line="276" w:lineRule="auto"/>
        <w:jc w:val="both"/>
      </w:pPr>
      <w:r>
        <w:rPr>
          <w:rFonts w:ascii="Times New Roman" w:hAnsi="Times New Roman" w:cs="Times New Roman"/>
          <w:color w:val="000000"/>
          <w:sz w:val="22"/>
          <w:szCs w:val="22"/>
        </w:rPr>
        <w:t xml:space="preserve">The quantitative results reported in Chapters 6 and 8 were produced by executing the evaluation harness described in Section 6.7 against the source code submitted alongside this report. All figures are reproducible under the fixed random seed documented therein.</w:t>
      </w:r>
    </w:p>
    <w:p>
      <w:pPr>
        <w:spacing w:before="0" w:after="120" w:line="276" w:lineRule="auto"/>
        <w:jc w:val="both"/>
      </w:pPr>
      <w:r>
        <w:rPr>
          <w:rFonts w:ascii="Times New Roman" w:hAnsi="Times New Roman" w:cs="Times New Roman"/>
          <w:color w:val="000000"/>
          <w:sz w:val="22"/>
          <w:szCs w:val="22"/>
        </w:rPr>
        <w:t xml:space="preserve">This work has not been submitted previously, in whole or in part, for the award of any other degree or diploma.</w:t>
      </w:r>
    </w:p>
    <w:p>
      <w:pPr>
        <w:spacing w:before="0" w:after="0" w:line="276" w:lineRule="auto"/>
        <w:jc w:val="both"/>
      </w:pPr>
    </w:p>
    <w:p>
      <w:pPr>
        <w:spacing w:before="0" w:after="0" w:line="276" w:lineRule="auto"/>
        <w:jc w:val="both"/>
      </w:pPr>
    </w:p>
    <w:p>
      <w:pPr>
        <w:spacing w:before="0" w:after="0" w:line="276" w:lineRule="auto"/>
        <w:jc w:val="both"/>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4700"/>
        <w:gridCol w:w="4700"/>
      </w:tblGrid>
      <w:tr>
        <w:tc>
          <w:tcPr>
            <w:tcW w:w="4700" w:type="dxa"/>
            <w:vAlign w:val="top"/>
          </w:tcPr>
          <w:p>
            <w:pPr>
              <w:spacing w:before="20" w:after="20" w:line="240" w:lineRule="auto"/>
              <w:jc w:val="left"/>
            </w:pPr>
            <w:r>
              <w:rPr>
                <w:rFonts w:ascii="Times New Roman" w:hAnsi="Times New Roman" w:cs="Times New Roman"/>
                <w:color w:val="000000"/>
                <w:sz w:val="19"/>
                <w:szCs w:val="19"/>
              </w:rPr>
              <w:t xml:space="preserve">Date:  [Date]</w:t>
            </w:r>
          </w:p>
        </w:tc>
        <w:tc>
          <w:tcPr>
            <w:tcW w:w="4700" w:type="dxa"/>
            <w:vAlign w:val="top"/>
          </w:tcPr>
          <w:p>
            <w:pPr>
              <w:spacing w:before="20" w:after="20" w:line="240" w:lineRule="auto"/>
              <w:jc w:val="left"/>
            </w:pPr>
            <w:r>
              <w:rPr>
                <w:rFonts w:ascii="Times New Roman" w:hAnsi="Times New Roman" w:cs="Times New Roman"/>
                <w:color w:val="000000"/>
                <w:sz w:val="19"/>
                <w:szCs w:val="19"/>
              </w:rPr>
              <w:t xml:space="preserve">[Your Full Name]</w:t>
            </w:r>
          </w:p>
        </w:tc>
      </w:tr>
      <w:tr>
        <w:tc>
          <w:tcPr>
            <w:tcW w:w="4700" w:type="dxa"/>
            <w:vAlign w:val="top"/>
          </w:tcPr>
          <w:p>
            <w:pPr>
              <w:spacing w:before="20" w:after="20" w:line="240" w:lineRule="auto"/>
              <w:jc w:val="left"/>
            </w:pPr>
            <w:r>
              <w:rPr>
                <w:rFonts w:ascii="Times New Roman" w:hAnsi="Times New Roman" w:cs="Times New Roman"/>
                <w:color w:val="000000"/>
                <w:sz w:val="19"/>
                <w:szCs w:val="19"/>
              </w:rPr>
              <w:t xml:space="preserve">Place: [Place]</w:t>
            </w:r>
          </w:p>
        </w:tc>
        <w:tc>
          <w:tcPr>
            <w:tcW w:w="4700" w:type="dxa"/>
            <w:vAlign w:val="top"/>
          </w:tcPr>
          <w:p>
            <w:pPr>
              <w:spacing w:before="20" w:after="20" w:line="240" w:lineRule="auto"/>
              <w:jc w:val="left"/>
            </w:pPr>
            <w:r>
              <w:rPr>
                <w:rFonts w:ascii="Times New Roman" w:hAnsi="Times New Roman" w:cs="Times New Roman"/>
                <w:color w:val="000000"/>
                <w:sz w:val="19"/>
                <w:szCs w:val="19"/>
              </w:rPr>
              <w:t xml:space="preserve">(Signature)</w:t>
            </w:r>
          </w:p>
        </w:tc>
      </w:tr>
    </w:tbl>
    <w:p>
      <w:pPr>
        <w:spacing w:before="0" w:after="100" w:line="276" w:lineRule="auto"/>
        <w:jc w:val="both"/>
      </w:pP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Acknowledgements</w:t>
      </w:r>
    </w:p>
    <w:p>
      <w:pPr>
        <w:spacing w:before="0" w:after="120" w:line="276" w:lineRule="auto"/>
        <w:jc w:val="both"/>
      </w:pPr>
      <w:r>
        <w:rPr>
          <w:rFonts w:ascii="Times New Roman" w:hAnsi="Times New Roman" w:cs="Times New Roman"/>
          <w:color w:val="000000"/>
          <w:sz w:val="22"/>
          <w:szCs w:val="22"/>
        </w:rPr>
        <w:t xml:space="preserve">I record my sincere thanks to </w:t>
      </w:r>
      <w:r>
        <w:rPr>
          <w:rFonts w:ascii="Times New Roman" w:hAnsi="Times New Roman" w:cs="Times New Roman"/>
          <w:b/>
          <w:color w:val="000000"/>
          <w:sz w:val="22"/>
          <w:szCs w:val="22"/>
        </w:rPr>
        <w:t xml:space="preserve">[Company Name]</w:t>
      </w:r>
      <w:r>
        <w:rPr>
          <w:rFonts w:ascii="Times New Roman" w:hAnsi="Times New Roman" w:cs="Times New Roman"/>
          <w:color w:val="000000"/>
          <w:sz w:val="22"/>
          <w:szCs w:val="22"/>
        </w:rPr>
        <w:t xml:space="preserve"> for the opportunity to work on a production system rather than a training exercise. Building software that real operators depend on daily imposed constraints — data integrity, access control, backward compatibility with existing records — that no academic project would have surfaced, and those constraints shaped nearly every decision documented in this report.</w:t>
      </w:r>
    </w:p>
    <w:p>
      <w:pPr>
        <w:spacing w:before="0" w:after="120" w:line="276" w:lineRule="auto"/>
        <w:jc w:val="both"/>
      </w:pPr>
      <w:r>
        <w:rPr>
          <w:rFonts w:ascii="Times New Roman" w:hAnsi="Times New Roman" w:cs="Times New Roman"/>
          <w:color w:val="000000"/>
          <w:sz w:val="22"/>
          <w:szCs w:val="22"/>
        </w:rPr>
        <w:t xml:space="preserve">I am grateful to my industry mentor, </w:t>
      </w:r>
      <w:r>
        <w:rPr>
          <w:rFonts w:ascii="Times New Roman" w:hAnsi="Times New Roman" w:cs="Times New Roman"/>
          <w:b/>
          <w:color w:val="000000"/>
          <w:sz w:val="22"/>
          <w:szCs w:val="22"/>
        </w:rPr>
        <w:t xml:space="preserve">[Industry Mentor Name]</w:t>
      </w:r>
      <w:r>
        <w:rPr>
          <w:rFonts w:ascii="Times New Roman" w:hAnsi="Times New Roman" w:cs="Times New Roman"/>
          <w:color w:val="000000"/>
          <w:sz w:val="22"/>
          <w:szCs w:val="22"/>
        </w:rPr>
        <w:t xml:space="preserve">, for insisting on measured evidence whenever I claimed an improvement. That discipline is why Chapter 6 reports a cross-validated figure alongside a single-split one, and why an unsuccessful experiment is documented in Section 6.9 rather than quietly discarded.</w:t>
      </w:r>
    </w:p>
    <w:p>
      <w:pPr>
        <w:spacing w:before="0" w:after="120" w:line="276" w:lineRule="auto"/>
        <w:jc w:val="both"/>
      </w:pPr>
      <w:r>
        <w:rPr>
          <w:rFonts w:ascii="Times New Roman" w:hAnsi="Times New Roman" w:cs="Times New Roman"/>
          <w:color w:val="000000"/>
          <w:sz w:val="22"/>
          <w:szCs w:val="22"/>
        </w:rPr>
        <w:t xml:space="preserve">I thank my faculty guide, </w:t>
      </w:r>
      <w:r>
        <w:rPr>
          <w:rFonts w:ascii="Times New Roman" w:hAnsi="Times New Roman" w:cs="Times New Roman"/>
          <w:b/>
          <w:color w:val="000000"/>
          <w:sz w:val="22"/>
          <w:szCs w:val="22"/>
        </w:rPr>
        <w:t xml:space="preserve">[Faculty Guide Name]</w:t>
      </w:r>
      <w:r>
        <w:rPr>
          <w:rFonts w:ascii="Times New Roman" w:hAnsi="Times New Roman" w:cs="Times New Roman"/>
          <w:color w:val="000000"/>
          <w:sz w:val="22"/>
          <w:szCs w:val="22"/>
        </w:rPr>
        <w:t xml:space="preserve">, and the Department of Computer Science and Engineering at </w:t>
      </w:r>
      <w:r>
        <w:rPr>
          <w:rFonts w:ascii="Times New Roman" w:hAnsi="Times New Roman" w:cs="Times New Roman"/>
          <w:b/>
          <w:color w:val="000000"/>
          <w:sz w:val="22"/>
          <w:szCs w:val="22"/>
        </w:rPr>
        <w:t xml:space="preserve">[University / Institute Name]</w:t>
      </w:r>
      <w:r>
        <w:rPr>
          <w:rFonts w:ascii="Times New Roman" w:hAnsi="Times New Roman" w:cs="Times New Roman"/>
          <w:color w:val="000000"/>
          <w:sz w:val="22"/>
          <w:szCs w:val="22"/>
        </w:rPr>
        <w:t xml:space="preserve">, for their academic supervision and for guidance on structuring an empirical evaluation.</w:t>
      </w:r>
    </w:p>
    <w:p>
      <w:pPr>
        <w:spacing w:before="0" w:after="120" w:line="276" w:lineRule="auto"/>
        <w:jc w:val="both"/>
      </w:pPr>
      <w:r>
        <w:rPr>
          <w:rFonts w:ascii="Times New Roman" w:hAnsi="Times New Roman" w:cs="Times New Roman"/>
          <w:color w:val="000000"/>
          <w:sz w:val="22"/>
          <w:szCs w:val="22"/>
        </w:rPr>
        <w:t xml:space="preserve">Finally, I thank my family for their patience and encouragement throughout this period.</w:t>
      </w:r>
    </w:p>
    <w:p>
      <w:pPr>
        <w:spacing w:before="0" w:after="0" w:line="276" w:lineRule="auto"/>
        <w:jc w:val="both"/>
      </w:pPr>
    </w:p>
    <w:p>
      <w:pPr>
        <w:spacing w:before="0" w:after="0" w:line="276" w:lineRule="auto"/>
        <w:jc w:val="both"/>
      </w:pPr>
    </w:p>
    <w:p>
      <w:pPr>
        <w:spacing w:before="0" w:after="120" w:line="276" w:lineRule="auto"/>
        <w:jc w:val="right"/>
      </w:pPr>
      <w:r>
        <w:rPr>
          <w:rFonts w:ascii="Times New Roman" w:hAnsi="Times New Roman" w:cs="Times New Roman"/>
          <w:b/>
          <w:color w:val="000000"/>
          <w:sz w:val="22"/>
          <w:szCs w:val="22"/>
        </w:rPr>
        <w:t xml:space="preserve">[Your Full Name]</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List of Abbreviations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256"/>
        <w:gridCol w:w="7144"/>
      </w:tblGrid>
      <w:tr>
        <w:trPr>
          <w:tblHeader/>
        </w:trPr>
        <w:tc>
          <w:tcPr>
            <w:tcW w:w="22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Abbreviation</w:t>
            </w:r>
          </w:p>
        </w:tc>
        <w:tc>
          <w:tcPr>
            <w:tcW w:w="71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Expansion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AI / ML</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Artificial Intelligence / Machine Learning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NLP / NLU</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Natural Language Processing / Understanding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NER</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Named Entity Recognition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DST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Dialogue State Tracking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TF–IDF</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Term Frequency – Inverse Document Frequency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MNB / CNB</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Multinomial / Complement Naive Bayes</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CV</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Cross-Validation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CRM</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Customer Relationship Management</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ERP</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Enterprise Resource Planning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DMS</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Distribution Management System</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SFA</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Sales Force Automation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RBAC</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Role-Based Access Control</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FEFO</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First-Expiry-First-Out</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GRN</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Goods Receipt Note</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PO</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Purchase Order</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O2C / P2P</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Order-to-Cash / Procure-to-Pay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SPA</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Single Page Application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RLS</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Row Level Security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SKU</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Stock Keeping Unit</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KPI</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Key Performance Indicator</w:t>
            </w:r>
          </w:p>
        </w:tc>
      </w:tr>
    </w:tbl>
    <w:p>
      <w:pPr>
        <w:spacing w:before="0" w:after="10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List of Tables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1.1 — Company overview</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3.1 — Stakeholder roles and their primary operational concerns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3.2 — Functional requirements by module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4.1 — Database schema — entity groups and tables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4.2 — Role-based permission model — access levels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5.1 — Implemented modules and their scope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5.2 — Order fulfilment status hierarchy and stage ownership</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6.1 — Intent inventory of the PRISM engine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6.2 — Edit-distance budget by token class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6.6 — Algorithm comparison — Multinomial versus Complement Naive Bayes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7.1 — Verification methods applied per subsystem</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7.2 — Classifier headline performance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7.3 — Five-fold cross-validation fold scores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7.4 — Per-class precision, recall and F1</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8.1 — Implementation metrics by area</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8.2 — Experimental iteration history</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8.3 — Defect classes identified and resolved</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Table 8.4 — Capability comparison — symbolic engine versus classifier</w:t>
      </w:r>
    </w:p>
    <w:p>
      <w:pPr>
        <w:spacing w:before="280" w:after="120" w:line="276" w:lineRule="auto"/>
        <w:jc w:val="left"/>
        <w:keepNext/>
      </w:pPr>
      <w:r>
        <w:rPr>
          <w:rFonts w:ascii="Times New Roman" w:hAnsi="Times New Roman" w:cs="Times New Roman"/>
          <w:b/>
          <w:color w:val="1F4E79"/>
          <w:sz w:val="26"/>
          <w:szCs w:val="26"/>
        </w:rPr>
        <w:t xml:space="preserve">List of Figures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4.1 — Three-tier system architecture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4.2 — Entity relationship overview</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5.1 — Order-to-cash process flow with stock validation gates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6.1 — PRISM AI processing pipeline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Figure 8.1 — Classifier accuracy progression across experimental iterations</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Abstract</w:t>
      </w:r>
    </w:p>
    <w:p>
      <w:pPr>
        <w:spacing w:before="0" w:after="120" w:line="276" w:lineRule="auto"/>
        <w:jc w:val="both"/>
      </w:pPr>
      <w:r>
        <w:rPr>
          <w:rFonts w:ascii="Times New Roman" w:hAnsi="Times New Roman" w:cs="Times New Roman"/>
          <w:color w:val="000000"/>
          <w:sz w:val="22"/>
          <w:szCs w:val="22"/>
        </w:rPr>
        <w:t xml:space="preserve">Distribution businesses in the fast-moving consumer goods sector operate across a layered channel — company to distributor, distributor to dealer, dealer to retailer — and each layer generates orders, invoices, payments, stock movements and claims that must reconcile against the others. In small and mid-sized firms these processes are typically spread across disconnected tools: an accounting package holds the ledger, spreadsheets hold stock and schemes, and the sales team's field activity is recorded on paper or not at all. The consequences are familiar — stock is committed that does not exist, incentive claims are settled without verification, and management reporting lags reality by weeks.</w:t>
      </w:r>
    </w:p>
    <w:p>
      <w:pPr>
        <w:spacing w:before="0" w:after="120" w:line="276" w:lineRule="auto"/>
        <w:jc w:val="both"/>
      </w:pPr>
      <w:r>
        <w:rPr>
          <w:rFonts w:ascii="Times New Roman" w:hAnsi="Times New Roman" w:cs="Times New Roman"/>
          <w:color w:val="000000"/>
          <w:sz w:val="22"/>
          <w:szCs w:val="22"/>
        </w:rPr>
        <w:t xml:space="preserve">This report documents the design and implementation of </w:t>
      </w:r>
      <w:r>
        <w:rPr>
          <w:rFonts w:ascii="Times New Roman" w:hAnsi="Times New Roman" w:cs="Times New Roman"/>
          <w:b/>
          <w:color w:val="000000"/>
          <w:sz w:val="22"/>
          <w:szCs w:val="22"/>
        </w:rPr>
        <w:t xml:space="preserve">Prismora</w:t>
      </w:r>
      <w:r>
        <w:rPr>
          <w:rFonts w:ascii="Times New Roman" w:hAnsi="Times New Roman" w:cs="Times New Roman"/>
          <w:color w:val="000000"/>
          <w:sz w:val="22"/>
          <w:szCs w:val="22"/>
        </w:rPr>
        <w:t xml:space="preserve">, an integrated distribution management, CRM and ERP platform built for a personal-care products distributor. The system spans lead management, a three-tier channel hierarchy, order-to-cash with inventory validation, procure-to-pay, batch-level inventory with expiry-aware allocation, accounting, scheme and claim processing, field-force automation, and management analytics. It comprises </w:t>
      </w:r>
      <w:r>
        <w:rPr>
          <w:rFonts w:ascii="Times New Roman" w:hAnsi="Times New Roman" w:cs="Times New Roman"/>
          <w:b/>
          <w:color w:val="000000"/>
          <w:sz w:val="22"/>
          <w:szCs w:val="22"/>
        </w:rPr>
        <w:t xml:space="preserve">54 source modules totalling 20,126 lines</w:t>
      </w: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34 application screens</w:t>
      </w:r>
      <w:r>
        <w:rPr>
          <w:rFonts w:ascii="Times New Roman" w:hAnsi="Times New Roman" w:cs="Times New Roman"/>
          <w:color w:val="000000"/>
          <w:sz w:val="22"/>
          <w:szCs w:val="22"/>
        </w:rPr>
        <w:t xml:space="preserve">, a </w:t>
      </w:r>
      <w:r>
        <w:rPr>
          <w:rFonts w:ascii="Times New Roman" w:hAnsi="Times New Roman" w:cs="Times New Roman"/>
          <w:b/>
          <w:color w:val="000000"/>
          <w:sz w:val="22"/>
          <w:szCs w:val="22"/>
        </w:rPr>
        <w:t xml:space="preserve">30-table relational schema</w:t>
      </w:r>
      <w:r>
        <w:rPr>
          <w:rFonts w:ascii="Times New Roman" w:hAnsi="Times New Roman" w:cs="Times New Roman"/>
          <w:color w:val="000000"/>
          <w:sz w:val="22"/>
          <w:szCs w:val="22"/>
        </w:rPr>
        <w:t xml:space="preserve">, and a role-based access control model covering </w:t>
      </w:r>
      <w:r>
        <w:rPr>
          <w:rFonts w:ascii="Times New Roman" w:hAnsi="Times New Roman" w:cs="Times New Roman"/>
          <w:b/>
          <w:color w:val="000000"/>
          <w:sz w:val="22"/>
          <w:szCs w:val="22"/>
        </w:rPr>
        <w:t xml:space="preserve">15 distinct roles across 21 permission domains</w:t>
      </w:r>
      <w:r>
        <w:rPr>
          <w:rFonts w:ascii="Times New Roman" w:hAnsi="Times New Roman" w:cs="Times New Roman"/>
          <w:color w:val="000000"/>
          <w:sz w:val="22"/>
          <w:szCs w:val="22"/>
        </w:rPr>
        <w:t xml:space="preserve">.</w:t>
      </w:r>
    </w:p>
    <w:p>
      <w:pPr>
        <w:spacing w:before="0" w:after="120" w:line="276" w:lineRule="auto"/>
        <w:jc w:val="both"/>
      </w:pPr>
      <w:r>
        <w:rPr>
          <w:rFonts w:ascii="Times New Roman" w:hAnsi="Times New Roman" w:cs="Times New Roman"/>
          <w:color w:val="000000"/>
          <w:sz w:val="22"/>
          <w:szCs w:val="22"/>
        </w:rPr>
        <w:t xml:space="preserve">Embedded within the platform is </w:t>
      </w:r>
      <w:r>
        <w:rPr>
          <w:rFonts w:ascii="Times New Roman" w:hAnsi="Times New Roman" w:cs="Times New Roman"/>
          <w:b/>
          <w:color w:val="000000"/>
          <w:sz w:val="22"/>
          <w:szCs w:val="22"/>
        </w:rPr>
        <w:t xml:space="preserve">PRISM AI</w:t>
      </w:r>
      <w:r>
        <w:rPr>
          <w:rFonts w:ascii="Times New Roman" w:hAnsi="Times New Roman" w:cs="Times New Roman"/>
          <w:color w:val="000000"/>
          <w:sz w:val="22"/>
          <w:szCs w:val="22"/>
        </w:rPr>
        <w:t xml:space="preserve">, a natural language intelligence layer that constitutes the artificial-intelligence component of this work. Rather than delegating comprehension to a hosted language model — which would require transmitting financial records to a third party and would admit the possibility of a fluently stated but incorrect figure — the comprehension layer was constructed directly. A symbolic engine performs normalisation, stemming, synonym-to-concept expansion across 23 semantic groups, weighted classification over 17 intents, gazetteer-based named entity recognition, Damerau–Levenshtein fuzzy matching and dialogue state tracking. Alongside it, a statistical classifier — TF–IDF over unigram and bigram features feeding Multinomial Naive Bayes with Lidstone smoothing — was implemented from mathematical first principles without any machine learning library, and trained on a hand-constructed corpus of 659 labelled queries.</w:t>
      </w:r>
    </w:p>
    <w:p>
      <w:pPr>
        <w:spacing w:before="0" w:after="120" w:line="276" w:lineRule="auto"/>
        <w:jc w:val="both"/>
      </w:pPr>
      <w:r>
        <w:rPr>
          <w:rFonts w:ascii="Times New Roman" w:hAnsi="Times New Roman" w:cs="Times New Roman"/>
          <w:color w:val="000000"/>
          <w:sz w:val="22"/>
          <w:szCs w:val="22"/>
        </w:rPr>
        <w:t xml:space="preserve">The classifier attains </w:t>
      </w:r>
      <w:r>
        <w:rPr>
          <w:rFonts w:ascii="Times New Roman" w:hAnsi="Times New Roman" w:cs="Times New Roman"/>
          <w:b/>
          <w:color w:val="000000"/>
          <w:sz w:val="22"/>
          <w:szCs w:val="22"/>
        </w:rPr>
        <w:t xml:space="preserve">85.8% accuracy</w:t>
      </w:r>
      <w:r>
        <w:rPr>
          <w:rFonts w:ascii="Times New Roman" w:hAnsi="Times New Roman" w:cs="Times New Roman"/>
          <w:color w:val="000000"/>
          <w:sz w:val="22"/>
          <w:szCs w:val="22"/>
        </w:rPr>
        <w:t xml:space="preserve"> on a stratified held-out test set and </w:t>
      </w:r>
      <w:r>
        <w:rPr>
          <w:rFonts w:ascii="Times New Roman" w:hAnsi="Times New Roman" w:cs="Times New Roman"/>
          <w:b/>
          <w:color w:val="000000"/>
          <w:sz w:val="22"/>
          <w:szCs w:val="22"/>
        </w:rPr>
        <w:t xml:space="preserve">78.7% (± 2.7%)</w:t>
      </w:r>
      <w:r>
        <w:rPr>
          <w:rFonts w:ascii="Times New Roman" w:hAnsi="Times New Roman" w:cs="Times New Roman"/>
          <w:color w:val="000000"/>
          <w:sz w:val="22"/>
          <w:szCs w:val="22"/>
        </w:rPr>
        <w:t xml:space="preserve"> under five-fold cross-validation, with a macro-averaged F1 of </w:t>
      </w:r>
      <w:r>
        <w:rPr>
          <w:rFonts w:ascii="Times New Roman" w:hAnsi="Times New Roman" w:cs="Times New Roman"/>
          <w:b/>
          <w:color w:val="000000"/>
          <w:sz w:val="22"/>
          <w:szCs w:val="22"/>
        </w:rPr>
        <w:t xml:space="preserve">0.859</w:t>
      </w:r>
      <w:r>
        <w:rPr>
          <w:rFonts w:ascii="Times New Roman" w:hAnsi="Times New Roman" w:cs="Times New Roman"/>
          <w:color w:val="000000"/>
          <w:sz w:val="22"/>
          <w:szCs w:val="22"/>
        </w:rPr>
        <w:t xml:space="preserve"> — approximately </w:t>
      </w:r>
      <w:r>
        <w:rPr>
          <w:rFonts w:ascii="Times New Roman" w:hAnsi="Times New Roman" w:cs="Times New Roman"/>
          <w:b/>
          <w:color w:val="000000"/>
          <w:sz w:val="22"/>
          <w:szCs w:val="22"/>
        </w:rPr>
        <w:t xml:space="preserve">13.3 times</w:t>
      </w:r>
      <w:r>
        <w:rPr>
          <w:rFonts w:ascii="Times New Roman" w:hAnsi="Times New Roman" w:cs="Times New Roman"/>
          <w:color w:val="000000"/>
          <w:sz w:val="22"/>
          <w:szCs w:val="22"/>
        </w:rPr>
        <w:t xml:space="preserve"> the 5.9% expected from random assignment across 17 classes. This figure was reached across four measured iterations beginning at 47.1%. Notably, a substitution to Complement Naive Bayes — an algorithm formulated precisely for the overlapping-vocabulary condition diagnosed in error analysis — yielded only 0.4 percentage points, within run-to-run variance. That negative result redirected effort towards training-data quality, where the actual defect lay, and is retained in this report because the diagnostic reasoning it enabled exceeded the accuracy it failed to deliver.</w:t>
      </w:r>
    </w:p>
    <w:p>
      <w:pPr>
        <w:spacing w:before="0" w:after="120" w:line="276" w:lineRule="auto"/>
        <w:jc w:val="both"/>
      </w:pPr>
      <w:r>
        <w:rPr>
          <w:rFonts w:ascii="Times New Roman" w:hAnsi="Times New Roman" w:cs="Times New Roman"/>
          <w:b/>
          <w:color w:val="000000"/>
          <w:sz w:val="22"/>
          <w:szCs w:val="22"/>
        </w:rPr>
        <w:t xml:space="preserve">Keywords:</w:t>
      </w:r>
      <w:r>
        <w:rPr>
          <w:rFonts w:ascii="Times New Roman" w:hAnsi="Times New Roman" w:cs="Times New Roman"/>
          <w:color w:val="000000"/>
          <w:sz w:val="22"/>
          <w:szCs w:val="22"/>
        </w:rPr>
        <w:t xml:space="preserve"> Distribution Management System, Enterprise Resource Planning, Natural Language Processing, Intent Classification, Named Entity Recognition, Naive Bayes, TF–IDF, Role-Based Access Control, Inventory Management, Business Intelligence.</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1: Introduction</w:t>
      </w:r>
    </w:p>
    <w:p>
      <w:pPr>
        <w:spacing w:before="280" w:after="120" w:line="276" w:lineRule="auto"/>
        <w:jc w:val="left"/>
        <w:keepNext/>
      </w:pPr>
      <w:r>
        <w:rPr>
          <w:rFonts w:ascii="Times New Roman" w:hAnsi="Times New Roman" w:cs="Times New Roman"/>
          <w:b/>
          <w:color w:val="1F4E79"/>
          <w:sz w:val="26"/>
          <w:szCs w:val="26"/>
        </w:rPr>
        <w:t xml:space="preserve">1.1 Background</w:t>
      </w:r>
    </w:p>
    <w:p>
      <w:pPr>
        <w:spacing w:before="0" w:after="120" w:line="276" w:lineRule="auto"/>
        <w:jc w:val="both"/>
      </w:pPr>
      <w:r>
        <w:rPr>
          <w:rFonts w:ascii="Times New Roman" w:hAnsi="Times New Roman" w:cs="Times New Roman"/>
          <w:color w:val="000000"/>
          <w:sz w:val="22"/>
          <w:szCs w:val="22"/>
        </w:rPr>
        <w:t xml:space="preserve">As part of the curriculum for the </w:t>
      </w:r>
      <w:r>
        <w:rPr>
          <w:rFonts w:ascii="Times New Roman" w:hAnsi="Times New Roman" w:cs="Times New Roman"/>
          <w:b/>
          <w:color w:val="000000"/>
          <w:sz w:val="22"/>
          <w:szCs w:val="22"/>
        </w:rPr>
        <w:t xml:space="preserve">[Degree, e.g. Bachelor of Technology in Computer Science and Engineering (AI – ML)]</w:t>
      </w:r>
      <w:r>
        <w:rPr>
          <w:rFonts w:ascii="Times New Roman" w:hAnsi="Times New Roman" w:cs="Times New Roman"/>
          <w:color w:val="000000"/>
          <w:sz w:val="22"/>
          <w:szCs w:val="22"/>
        </w:rPr>
        <w:t xml:space="preserve"> at </w:t>
      </w:r>
      <w:r>
        <w:rPr>
          <w:rFonts w:ascii="Times New Roman" w:hAnsi="Times New Roman" w:cs="Times New Roman"/>
          <w:b/>
          <w:color w:val="000000"/>
          <w:sz w:val="22"/>
          <w:szCs w:val="22"/>
        </w:rPr>
        <w:t xml:space="preserve">[University Name]</w:t>
      </w:r>
      <w:r>
        <w:rPr>
          <w:rFonts w:ascii="Times New Roman" w:hAnsi="Times New Roman" w:cs="Times New Roman"/>
          <w:color w:val="000000"/>
          <w:sz w:val="22"/>
          <w:szCs w:val="22"/>
        </w:rPr>
        <w:t xml:space="preserve">, students are required to undergo an internship to gain exposure to real industry work. This report is a record of the internship I completed at </w:t>
      </w:r>
      <w:r>
        <w:rPr>
          <w:rFonts w:ascii="Times New Roman" w:hAnsi="Times New Roman" w:cs="Times New Roman"/>
          <w:b/>
          <w:color w:val="000000"/>
          <w:sz w:val="22"/>
          <w:szCs w:val="22"/>
        </w:rPr>
        <w:t xml:space="preserve">WebContrive Pvt Ltd</w:t>
      </w:r>
      <w:r>
        <w:rPr>
          <w:rFonts w:ascii="Times New Roman" w:hAnsi="Times New Roman" w:cs="Times New Roman"/>
          <w:color w:val="000000"/>
          <w:sz w:val="22"/>
          <w:szCs w:val="22"/>
        </w:rPr>
        <w:t xml:space="preserve">, Surat, working as an </w:t>
      </w:r>
      <w:r>
        <w:rPr>
          <w:rFonts w:ascii="Times New Roman" w:hAnsi="Times New Roman" w:cs="Times New Roman"/>
          <w:b/>
          <w:color w:val="000000"/>
          <w:sz w:val="22"/>
          <w:szCs w:val="22"/>
        </w:rPr>
        <w:t xml:space="preserve">Artificial Intelligence Engineer Intern</w:t>
      </w:r>
      <w:r>
        <w:rPr>
          <w:rFonts w:ascii="Times New Roman" w:hAnsi="Times New Roman" w:cs="Times New Roman"/>
          <w:color w:val="000000"/>
          <w:sz w:val="22"/>
          <w:szCs w:val="22"/>
        </w:rPr>
        <w:t xml:space="preserve"> from </w:t>
      </w:r>
      <w:r>
        <w:rPr>
          <w:rFonts w:ascii="Times New Roman" w:hAnsi="Times New Roman" w:cs="Times New Roman"/>
          <w:b/>
          <w:color w:val="000000"/>
          <w:sz w:val="22"/>
          <w:szCs w:val="22"/>
        </w:rPr>
        <w:t xml:space="preserve">1 June 2026 to 20 July 2026</w:t>
      </w:r>
      <w:r>
        <w:rPr>
          <w:rFonts w:ascii="Times New Roman" w:hAnsi="Times New Roman" w:cs="Times New Roman"/>
          <w:color w:val="000000"/>
          <w:sz w:val="22"/>
          <w:szCs w:val="22"/>
        </w:rPr>
        <w:t xml:space="preserve">.</w:t>
      </w:r>
    </w:p>
    <w:p>
      <w:pPr>
        <w:spacing w:before="280" w:after="120" w:line="276" w:lineRule="auto"/>
        <w:jc w:val="left"/>
        <w:keepNext/>
      </w:pPr>
      <w:r>
        <w:rPr>
          <w:rFonts w:ascii="Times New Roman" w:hAnsi="Times New Roman" w:cs="Times New Roman"/>
          <w:b/>
          <w:color w:val="1F4E79"/>
          <w:sz w:val="26"/>
          <w:szCs w:val="26"/>
        </w:rPr>
        <w:t xml:space="preserve">1.2 Company Overview</w:t>
      </w:r>
    </w:p>
    <w:p>
      <w:pPr>
        <w:spacing w:before="0" w:after="120" w:line="276" w:lineRule="auto"/>
        <w:jc w:val="both"/>
      </w:pPr>
      <w:r>
        <w:rPr>
          <w:rFonts w:ascii="Times New Roman" w:hAnsi="Times New Roman" w:cs="Times New Roman"/>
          <w:color w:val="000000"/>
          <w:sz w:val="22"/>
          <w:szCs w:val="22"/>
        </w:rPr>
        <w:t xml:space="preserve">WebContrive Pvt Ltd is a technology services company based in Surat, Gujarat. </w:t>
      </w:r>
      <w:r>
        <w:rPr>
          <w:rFonts w:ascii="Times New Roman" w:hAnsi="Times New Roman" w:cs="Times New Roman"/>
          <w:b/>
          <w:color w:val="000000"/>
          <w:sz w:val="22"/>
          <w:szCs w:val="22"/>
        </w:rPr>
        <w:t xml:space="preserve">[One to two sentences on what the company builds/does — e.g. its main service lines, the industries it serves, and how long it has been operating. I don't have this detail; add it here.]</w:t>
      </w:r>
    </w:p>
    <w:p>
      <w:pPr>
        <w:spacing w:before="0" w:after="120" w:line="276" w:lineRule="auto"/>
        <w:jc w:val="both"/>
      </w:pPr>
      <w:r>
        <w:rPr>
          <w:rFonts w:ascii="Times New Roman" w:hAnsi="Times New Roman" w:cs="Times New Roman"/>
          <w:b/>
          <w:color w:val="000000"/>
          <w:sz w:val="22"/>
          <w:szCs w:val="22"/>
        </w:rPr>
        <w:t xml:space="preserve">[Optional: name the specific product or client project you were placed on, similar to how a company might describe its flagship platform — e.g. "the company's engineering team was actively building/maintaining [Product Name], a [one-line description]".]</w:t>
      </w:r>
    </w:p>
    <w:p>
      <w:pPr>
        <w:spacing w:before="0" w:after="120" w:line="276" w:lineRule="auto"/>
        <w:jc w:val="both"/>
      </w:pPr>
      <w:r>
        <w:rPr>
          <w:rFonts w:ascii="Times New Roman" w:hAnsi="Times New Roman" w:cs="Times New Roman"/>
          <w:b/>
          <w:color w:val="000000"/>
          <w:sz w:val="22"/>
          <w:szCs w:val="22"/>
        </w:rPr>
        <w:t xml:space="preserve">[One or two sentences on team structure and what that meant for your exposure — e.g. small/focused team, direct access to production systems and real client work rather than isolated training exercises.]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3008"/>
        <w:gridCol w:w="6392"/>
      </w:tblGrid>
      <w:tr>
        <w:trPr>
          <w:tblHeader/>
        </w:trPr>
        <w:tc>
          <w:tcPr>
            <w:tcW w:w="300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Particular</w:t>
            </w:r>
          </w:p>
        </w:tc>
        <w:tc>
          <w:tcPr>
            <w:tcW w:w="639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Details</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Company Name</w:t>
            </w:r>
          </w:p>
        </w:tc>
        <w:tc>
          <w:tcPr>
            <w:tcW w:w="6392" w:type="dxa"/>
            <w:vAlign w:val="top"/>
          </w:tcPr>
          <w:p>
            <w:pPr>
              <w:spacing w:before="20" w:after="20" w:line="240" w:lineRule="auto"/>
              <w:jc w:val="left"/>
            </w:pPr>
            <w:r>
              <w:rPr>
                <w:rFonts w:ascii="Times New Roman" w:hAnsi="Times New Roman" w:cs="Times New Roman"/>
                <w:color w:val="000000"/>
                <w:sz w:val="19"/>
                <w:szCs w:val="19"/>
              </w:rPr>
              <w:t xml:space="preserve">WebContrive Pvt Ltd</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Tagline</w:t>
            </w:r>
          </w:p>
        </w:tc>
        <w:tc>
          <w:tcPr>
            <w:tcW w:w="6392" w:type="dxa"/>
            <w:vAlign w:val="top"/>
          </w:tcPr>
          <w:p>
            <w:pPr>
              <w:spacing w:before="20" w:after="20" w:line="240" w:lineRule="auto"/>
              <w:jc w:val="left"/>
            </w:pPr>
            <w:r>
              <w:rPr>
                <w:rFonts w:ascii="Times New Roman" w:hAnsi="Times New Roman" w:cs="Times New Roman"/>
                <w:b/>
                <w:color w:val="000000"/>
                <w:sz w:val="19"/>
                <w:szCs w:val="19"/>
              </w:rPr>
              <w:t xml:space="preserve">[Company tagline, if any]</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Location</w:t>
            </w:r>
          </w:p>
        </w:tc>
        <w:tc>
          <w:tcPr>
            <w:tcW w:w="6392" w:type="dxa"/>
            <w:vAlign w:val="top"/>
          </w:tcPr>
          <w:p>
            <w:pPr>
              <w:spacing w:before="20" w:after="20" w:line="240" w:lineRule="auto"/>
              <w:jc w:val="left"/>
            </w:pPr>
            <w:r>
              <w:rPr>
                <w:rFonts w:ascii="Times New Roman" w:hAnsi="Times New Roman" w:cs="Times New Roman"/>
                <w:color w:val="000000"/>
                <w:sz w:val="19"/>
                <w:szCs w:val="19"/>
              </w:rPr>
              <w:t xml:space="preserve">Surat, Gujarat, India</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Website</w:t>
            </w:r>
          </w:p>
        </w:tc>
        <w:tc>
          <w:tcPr>
            <w:tcW w:w="6392" w:type="dxa"/>
            <w:vAlign w:val="top"/>
          </w:tcPr>
          <w:p>
            <w:pPr>
              <w:spacing w:before="20" w:after="20" w:line="240" w:lineRule="auto"/>
              <w:jc w:val="left"/>
            </w:pPr>
            <w:r>
              <w:rPr>
                <w:rFonts w:ascii="Times New Roman" w:hAnsi="Times New Roman" w:cs="Times New Roman"/>
                <w:b/>
                <w:color w:val="000000"/>
                <w:sz w:val="19"/>
                <w:szCs w:val="19"/>
              </w:rPr>
              <w:t xml:space="preserve">[Company website]</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Email</w:t>
            </w:r>
          </w:p>
        </w:tc>
        <w:tc>
          <w:tcPr>
            <w:tcW w:w="6392" w:type="dxa"/>
            <w:vAlign w:val="top"/>
          </w:tcPr>
          <w:p>
            <w:pPr>
              <w:spacing w:before="20" w:after="20" w:line="240" w:lineRule="auto"/>
              <w:jc w:val="left"/>
            </w:pPr>
            <w:r>
              <w:rPr>
                <w:rFonts w:ascii="Times New Roman" w:hAnsi="Times New Roman" w:cs="Times New Roman"/>
                <w:b/>
                <w:color w:val="000000"/>
                <w:sz w:val="19"/>
                <w:szCs w:val="19"/>
              </w:rPr>
              <w:t xml:space="preserve">[Company contact email]</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Internship Role</w:t>
            </w:r>
          </w:p>
        </w:tc>
        <w:tc>
          <w:tcPr>
            <w:tcW w:w="6392" w:type="dxa"/>
            <w:vAlign w:val="top"/>
          </w:tcPr>
          <w:p>
            <w:pPr>
              <w:spacing w:before="20" w:after="20" w:line="240" w:lineRule="auto"/>
              <w:jc w:val="left"/>
            </w:pPr>
            <w:r>
              <w:rPr>
                <w:rFonts w:ascii="Times New Roman" w:hAnsi="Times New Roman" w:cs="Times New Roman"/>
                <w:color w:val="000000"/>
                <w:sz w:val="19"/>
                <w:szCs w:val="19"/>
              </w:rPr>
              <w:t xml:space="preserve">Artificial Intelligence Engineer Intern</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Department</w:t>
            </w:r>
          </w:p>
        </w:tc>
        <w:tc>
          <w:tcPr>
            <w:tcW w:w="6392" w:type="dxa"/>
            <w:vAlign w:val="top"/>
          </w:tcPr>
          <w:p>
            <w:pPr>
              <w:spacing w:before="20" w:after="20" w:line="240" w:lineRule="auto"/>
              <w:jc w:val="left"/>
            </w:pPr>
            <w:r>
              <w:rPr>
                <w:rFonts w:ascii="Times New Roman" w:hAnsi="Times New Roman" w:cs="Times New Roman"/>
                <w:b/>
                <w:color w:val="000000"/>
                <w:sz w:val="19"/>
                <w:szCs w:val="19"/>
              </w:rPr>
              <w:t xml:space="preserve">[e.g. AI / Machine Learning, or Product Engineering]</w:t>
            </w:r>
          </w:p>
        </w:tc>
      </w:tr>
      <w:tr>
        <w:tc>
          <w:tcPr>
            <w:tcW w:w="3008" w:type="dxa"/>
            <w:vAlign w:val="top"/>
          </w:tcPr>
          <w:p>
            <w:pPr>
              <w:spacing w:before="20" w:after="20" w:line="240" w:lineRule="auto"/>
              <w:jc w:val="left"/>
            </w:pPr>
            <w:r>
              <w:rPr>
                <w:rFonts w:ascii="Times New Roman" w:hAnsi="Times New Roman" w:cs="Times New Roman"/>
                <w:color w:val="000000"/>
                <w:sz w:val="19"/>
                <w:szCs w:val="19"/>
              </w:rPr>
              <w:t xml:space="preserve">Duration</w:t>
            </w:r>
          </w:p>
        </w:tc>
        <w:tc>
          <w:tcPr>
            <w:tcW w:w="6392" w:type="dxa"/>
            <w:vAlign w:val="top"/>
          </w:tcPr>
          <w:p>
            <w:pPr>
              <w:spacing w:before="20" w:after="20" w:line="240" w:lineRule="auto"/>
              <w:jc w:val="left"/>
            </w:pPr>
            <w:r>
              <w:rPr>
                <w:rFonts w:ascii="Times New Roman" w:hAnsi="Times New Roman" w:cs="Times New Roman"/>
                <w:color w:val="000000"/>
                <w:sz w:val="19"/>
                <w:szCs w:val="19"/>
              </w:rPr>
              <w:t xml:space="preserve">1 June 2026 – 20 July 2026</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1.1: Company Overview.</w:t>
      </w:r>
    </w:p>
    <w:p>
      <w:pPr>
        <w:spacing w:before="280" w:after="120" w:line="276" w:lineRule="auto"/>
        <w:jc w:val="left"/>
        <w:keepNext/>
      </w:pPr>
      <w:r>
        <w:rPr>
          <w:rFonts w:ascii="Times New Roman" w:hAnsi="Times New Roman" w:cs="Times New Roman"/>
          <w:b/>
          <w:color w:val="1F4E79"/>
          <w:sz w:val="26"/>
          <w:szCs w:val="26"/>
        </w:rPr>
        <w:t xml:space="preserve">1.3 Motivation for the Project</w:t>
      </w:r>
    </w:p>
    <w:p>
      <w:pPr>
        <w:spacing w:before="0" w:after="120" w:line="276" w:lineRule="auto"/>
        <w:jc w:val="both"/>
      </w:pPr>
      <w:r>
        <w:rPr>
          <w:rFonts w:ascii="Times New Roman" w:hAnsi="Times New Roman" w:cs="Times New Roman"/>
          <w:b/>
          <w:color w:val="000000"/>
          <w:sz w:val="22"/>
          <w:szCs w:val="22"/>
        </w:rPr>
        <w:t xml:space="preserve">[Two to three sentences, in your own voice: what your prior experience with software development / AI looked like before this internship — e.g. mostly academic projects, single-developer codebases, limited exposure to production systems — and what specifically shifted during this internship. The template below is adapted from the reference structure; replace it with what is actually true of your experience.]</w:t>
      </w:r>
    </w:p>
    <w:p>
      <w:pPr>
        <w:spacing w:before="0" w:after="120" w:line="276" w:lineRule="auto"/>
        <w:jc w:val="both"/>
      </w:pPr>
      <w:r>
        <w:rPr>
          <w:rFonts w:ascii="Times New Roman" w:hAnsi="Times New Roman" w:cs="Times New Roman"/>
          <w:color w:val="000000"/>
          <w:sz w:val="22"/>
          <w:szCs w:val="22"/>
        </w:rPr>
        <w:t xml:space="preserve">The organisation for which this platform was built operates a distribution business through a three-tier channel — company to distributor, distributor to dealer, dealer to retailer — each tier maintaining its own credit terms, pricing and incentive schemes. My specific responsibility was the design and implementation of an integrated CRM/ERP platform to replace the spreadsheet-based operation this complexity had outgrown, together with a natural language intelligence layer allowing non-technical operators to query that data directly rather than through pre-built reports.</w:t>
      </w:r>
    </w:p>
    <w:p>
      <w:pPr>
        <w:spacing w:before="280" w:after="120" w:line="276" w:lineRule="auto"/>
        <w:jc w:val="left"/>
        <w:keepNext/>
      </w:pPr>
      <w:r>
        <w:rPr>
          <w:rFonts w:ascii="Times New Roman" w:hAnsi="Times New Roman" w:cs="Times New Roman"/>
          <w:b/>
          <w:color w:val="1F4E79"/>
          <w:sz w:val="26"/>
          <w:szCs w:val="26"/>
        </w:rPr>
        <w:t xml:space="preserve">1.4 Objectives of the Internship</w:t>
      </w:r>
    </w:p>
    <w:p>
      <w:pPr>
        <w:spacing w:before="0" w:after="120" w:line="276" w:lineRule="auto"/>
        <w:jc w:val="both"/>
      </w:pPr>
      <w:r>
        <w:rPr>
          <w:rFonts w:ascii="Times New Roman" w:hAnsi="Times New Roman" w:cs="Times New Roman"/>
          <w:color w:val="000000"/>
          <w:sz w:val="22"/>
          <w:szCs w:val="22"/>
        </w:rPr>
        <w:t xml:space="preserve">The primary objectives of this internship were to:</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color w:val="000000"/>
          <w:sz w:val="22"/>
          <w:szCs w:val="22"/>
        </w:rPr>
        <w:t xml:space="preserve">analyse the operational processes of a multi-tier distribution business and derive a normalised data model representing its entities without loss of referential integrity;</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color w:val="000000"/>
          <w:sz w:val="22"/>
          <w:szCs w:val="22"/>
        </w:rPr>
        <w:t xml:space="preserve">design and implement an integrated platform covering the order-to-cash and procure-to-pay cycles, batch-level inventory management, accounting, channel partner management, scheme administration and field-force automation;</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color w:val="000000"/>
          <w:sz w:val="22"/>
          <w:szCs w:val="22"/>
        </w:rPr>
        <w:t xml:space="preserve">implement a role-based access control model serving fifteen distinct organisational roles, including external channel partners confined to their own data;</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color w:val="000000"/>
          <w:sz w:val="22"/>
          <w:szCs w:val="22"/>
        </w:rPr>
        <w:t xml:space="preserve">study the classical natural language understanding pipeline and implement each stage — normalisation, stemming, intent classification, entity recognition, dialogue state tracking — without a pre-built NLP library;</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color w:val="000000"/>
          <w:sz w:val="22"/>
          <w:szCs w:val="22"/>
        </w:rPr>
        <w:t xml:space="preserve">implement TF–IDF feature extraction and Naive Bayes classification from mathematical first principles, and evaluate them under stratified splitting, k-fold cross-validation and per-class error analysis;</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color w:val="000000"/>
          <w:sz w:val="22"/>
          <w:szCs w:val="22"/>
        </w:rPr>
        <w:t xml:space="preserve">compare a symbolic, rule-driven approach against a statistical, learned approach on an identical task, and characterise the conditions under which each is preferable.</w:t>
      </w:r>
    </w:p>
    <w:p>
      <w:pPr>
        <w:spacing w:before="280" w:after="120" w:line="276" w:lineRule="auto"/>
        <w:jc w:val="left"/>
        <w:keepNext/>
      </w:pPr>
      <w:r>
        <w:rPr>
          <w:rFonts w:ascii="Times New Roman" w:hAnsi="Times New Roman" w:cs="Times New Roman"/>
          <w:b/>
          <w:color w:val="1F4E79"/>
          <w:sz w:val="26"/>
          <w:szCs w:val="26"/>
        </w:rPr>
        <w:t xml:space="preserve">1.5 Scope and Limitations</w:t>
      </w:r>
    </w:p>
    <w:p>
      <w:pPr>
        <w:spacing w:before="0" w:after="120" w:line="276" w:lineRule="auto"/>
        <w:jc w:val="both"/>
      </w:pPr>
      <w:r>
        <w:rPr>
          <w:rFonts w:ascii="Times New Roman" w:hAnsi="Times New Roman" w:cs="Times New Roman"/>
          <w:b/>
          <w:color w:val="000000"/>
          <w:sz w:val="22"/>
          <w:szCs w:val="22"/>
        </w:rPr>
        <w:t xml:space="preserve">[Two to three sentences on how the actual shape of the work compared to what you expected going in — e.g. discrete assigned tasks versus ongoing ownership of a live system, and what that revealed about how AI/software engineering work actually happens outside a classroom setting. Replace with your own experience.]</w:t>
      </w:r>
    </w:p>
    <w:p>
      <w:pPr>
        <w:spacing w:before="0" w:after="120" w:line="276" w:lineRule="auto"/>
        <w:jc w:val="both"/>
      </w:pPr>
      <w:r>
        <w:rPr>
          <w:rFonts w:ascii="Times New Roman" w:hAnsi="Times New Roman" w:cs="Times New Roman"/>
          <w:color w:val="000000"/>
          <w:sz w:val="22"/>
          <w:szCs w:val="22"/>
        </w:rPr>
        <w:t xml:space="preserve">This report covers the platform and its embedded intelligence layer as delivered by the end of the internship period. Two boundaries are stated explicitly. First, the predictive analytics module described in Section 6.8 employs statistical heuristics — moving averages, recency scoring and velocity extrapolation — and is characterised as such throughout; it is not represented as machine learning. Second, an earlier iteration of the conversational assistant delegated comprehension to a hosted large language model; that approach was replaced by the work described in Chapter 6, and the rationale is given in Section 2.4.</w:t>
      </w:r>
    </w:p>
    <w:p>
      <w:pPr>
        <w:spacing w:before="280" w:after="120" w:line="276" w:lineRule="auto"/>
        <w:jc w:val="left"/>
        <w:keepNext/>
      </w:pPr>
      <w:r>
        <w:rPr>
          <w:rFonts w:ascii="Times New Roman" w:hAnsi="Times New Roman" w:cs="Times New Roman"/>
          <w:b/>
          <w:color w:val="1F4E79"/>
          <w:sz w:val="26"/>
          <w:szCs w:val="26"/>
        </w:rPr>
        <w:t xml:space="preserve">1.6 Organisation of the Report</w:t>
      </w:r>
    </w:p>
    <w:p>
      <w:pPr>
        <w:spacing w:before="0" w:after="120" w:line="276" w:lineRule="auto"/>
        <w:jc w:val="both"/>
      </w:pPr>
      <w:r>
        <w:rPr>
          <w:rFonts w:ascii="Times New Roman" w:hAnsi="Times New Roman" w:cs="Times New Roman"/>
          <w:color w:val="000000"/>
          <w:sz w:val="22"/>
          <w:szCs w:val="22"/>
        </w:rPr>
        <w:t xml:space="preserve">This report is organised into nine chapters. Chapter 1 introduces the internship context, company background, motivation and objectives. Chapter 2 reviews the relevant literature — enterprise systems in distribution, task-oriented dialogue systems, and existing approaches to intent recognition — and states the problem being addressed. Chapter 3 analyses system requirements and stakeholders. Chapter 4 presents the system architecture, database design and access control model. Chapter 5 details the implementation of the core business modules. Chapter 6 covers the natural language intelligence layer in depth, this being the principal technical focus of the internship. Chapter 7 presents the testing and validation methodology. Chapter 8 presents results and discussion. Chapter 9 concludes the report and outlines future scope.</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2: Literature Review and Problem Statement</w:t>
      </w:r>
    </w:p>
    <w:p>
      <w:pPr>
        <w:spacing w:before="280" w:after="120" w:line="276" w:lineRule="auto"/>
        <w:jc w:val="left"/>
        <w:keepNext/>
      </w:pPr>
      <w:r>
        <w:rPr>
          <w:rFonts w:ascii="Times New Roman" w:hAnsi="Times New Roman" w:cs="Times New Roman"/>
          <w:b/>
          <w:color w:val="1F4E79"/>
          <w:sz w:val="26"/>
          <w:szCs w:val="26"/>
        </w:rPr>
        <w:t xml:space="preserve">2.1 Enterprise Systems in Distribution</w:t>
      </w:r>
    </w:p>
    <w:p>
      <w:pPr>
        <w:spacing w:before="0" w:after="120" w:line="276" w:lineRule="auto"/>
        <w:jc w:val="both"/>
      </w:pPr>
      <w:r>
        <w:rPr>
          <w:rFonts w:ascii="Times New Roman" w:hAnsi="Times New Roman" w:cs="Times New Roman"/>
          <w:color w:val="000000"/>
          <w:sz w:val="22"/>
          <w:szCs w:val="22"/>
        </w:rPr>
        <w:t xml:space="preserve">Enterprise resource planning emerged from materials requirement planning as an attempt to place every operational function on a single transactional database, so that a stock movement recorded in the warehouse is immediately visible to sales, accounting and procurement. The architectural principle — a single source of truth, with modules as views onto shared entities rather than as independent applications — remains the defining characteristic and is the principle the present system follows.</w:t>
      </w:r>
    </w:p>
    <w:p>
      <w:pPr>
        <w:spacing w:before="0" w:after="120" w:line="276" w:lineRule="auto"/>
        <w:jc w:val="both"/>
      </w:pPr>
      <w:r>
        <w:rPr>
          <w:rFonts w:ascii="Times New Roman" w:hAnsi="Times New Roman" w:cs="Times New Roman"/>
          <w:color w:val="000000"/>
          <w:sz w:val="22"/>
          <w:szCs w:val="22"/>
        </w:rPr>
        <w:t xml:space="preserve">Established platforms serving this space are well developed but are calibrated for larger organisations. Their licensing, implementation cost and configuration burden are difficult to justify at the scale of a regional distributor, and the practical outcome is that firms of this size adopt an accounting package for statutory compliance and manage everything else in spreadsheets. The gap addressed by this work is therefore not a technical one but one of fit.</w:t>
      </w:r>
    </w:p>
    <w:p>
      <w:pPr>
        <w:spacing w:before="280" w:after="120" w:line="276" w:lineRule="auto"/>
        <w:jc w:val="left"/>
        <w:keepNext/>
      </w:pPr>
      <w:r>
        <w:rPr>
          <w:rFonts w:ascii="Times New Roman" w:hAnsi="Times New Roman" w:cs="Times New Roman"/>
          <w:b/>
          <w:color w:val="1F4E79"/>
          <w:sz w:val="26"/>
          <w:szCs w:val="26"/>
        </w:rPr>
        <w:t xml:space="preserve">2.2 Task-Oriented Dialogue Systems</w:t>
      </w:r>
    </w:p>
    <w:p>
      <w:pPr>
        <w:spacing w:before="0" w:after="120" w:line="276" w:lineRule="auto"/>
        <w:jc w:val="both"/>
      </w:pPr>
      <w:r>
        <w:rPr>
          <w:rFonts w:ascii="Times New Roman" w:hAnsi="Times New Roman" w:cs="Times New Roman"/>
          <w:color w:val="000000"/>
          <w:sz w:val="22"/>
          <w:szCs w:val="22"/>
        </w:rPr>
        <w:t xml:space="preserve">Dialogue systems built to accomplish a bounded set of goals, as distinct from open-ended conversation, are conventionally decomposed into three components: intent classification, which determines what the user wants; slot filling or named entity recognition, which determines the parameters of the request; and dialogue state tracking, which maintains context across turns. This decomposition organises commercial assistants and remains the standard reference architecture. The implementation described in Chapter 6 follows it directly, and the correspondence is deliberate.</w:t>
      </w:r>
    </w:p>
    <w:p>
      <w:pPr>
        <w:spacing w:before="280" w:after="120" w:line="276" w:lineRule="auto"/>
        <w:jc w:val="left"/>
        <w:keepNext/>
      </w:pPr>
      <w:r>
        <w:rPr>
          <w:rFonts w:ascii="Times New Roman" w:hAnsi="Times New Roman" w:cs="Times New Roman"/>
          <w:b/>
          <w:color w:val="1F4E79"/>
          <w:sz w:val="26"/>
          <w:szCs w:val="26"/>
        </w:rPr>
        <w:t xml:space="preserve">2.3 Approaches to Intent Recognition</w:t>
      </w:r>
    </w:p>
    <w:p>
      <w:pPr>
        <w:spacing w:before="200" w:after="100" w:line="276" w:lineRule="auto"/>
        <w:jc w:val="left"/>
        <w:keepNext/>
      </w:pPr>
      <w:r>
        <w:rPr>
          <w:rFonts w:ascii="Times New Roman" w:hAnsi="Times New Roman" w:cs="Times New Roman"/>
          <w:b/>
          <w:i/>
          <w:color w:val="000000"/>
          <w:sz w:val="23"/>
          <w:szCs w:val="23"/>
        </w:rPr>
        <w:t xml:space="preserve">2.3.1 Symbolic and rule-based systems</w:t>
      </w:r>
    </w:p>
    <w:p>
      <w:pPr>
        <w:spacing w:before="0" w:after="120" w:line="276" w:lineRule="auto"/>
        <w:jc w:val="both"/>
      </w:pPr>
      <w:r>
        <w:rPr>
          <w:rFonts w:ascii="Times New Roman" w:hAnsi="Times New Roman" w:cs="Times New Roman"/>
          <w:color w:val="000000"/>
          <w:sz w:val="22"/>
          <w:szCs w:val="22"/>
        </w:rPr>
        <w:t xml:space="preserve">The earliest natural language interfaces to databases mapped surface forms to queries through hand-authored grammars. Such systems are deterministic and fully auditable: for any output, the responsible rule can be identified. Their weakness is that coverage extends exactly as far as the rules an author has written. They remain well suited to situations where a wrong answer is costlier than no answer, and where domain vocabulary is bounded — both of which hold here.</w:t>
      </w:r>
    </w:p>
    <w:p>
      <w:pPr>
        <w:spacing w:before="200" w:after="100" w:line="276" w:lineRule="auto"/>
        <w:jc w:val="left"/>
        <w:keepNext/>
      </w:pPr>
      <w:r>
        <w:rPr>
          <w:rFonts w:ascii="Times New Roman" w:hAnsi="Times New Roman" w:cs="Times New Roman"/>
          <w:b/>
          <w:i/>
          <w:color w:val="000000"/>
          <w:sz w:val="23"/>
          <w:szCs w:val="23"/>
        </w:rPr>
        <w:t xml:space="preserve">2.3.2 Statistical text classification</w:t>
      </w:r>
    </w:p>
    <w:p>
      <w:pPr>
        <w:spacing w:before="0" w:after="120" w:line="276" w:lineRule="auto"/>
        <w:jc w:val="both"/>
      </w:pPr>
      <w:r>
        <w:rPr>
          <w:rFonts w:ascii="Times New Roman" w:hAnsi="Times New Roman" w:cs="Times New Roman"/>
          <w:color w:val="000000"/>
          <w:sz w:val="22"/>
          <w:szCs w:val="22"/>
        </w:rPr>
        <w:t xml:space="preserve">Treating intent recognition as supervised text classification permits generalisation to phrasings absent from training data. According to Jurafsky &amp; Martin (2023) and Manning, Raghavan, &amp; Schütze (2008), the standard representation is TF-IDF (Term Frequency-Inverse Document Frequency), which weights each term by its frequency within a document against its rarity across the corpus, expressed as idf(t) = log(N / df(t)). Multinomial Naive Bayes remains a strong baseline for this representation despite its conditional-independence assumption being plainly violated by natural language. As formulated by Pedregosa et al. (2011) and McCallum &amp; Nigam (1998), the class probability P(c|x) is calculated via Bayes' Theorem using log-likelihood summation to prevent floating-point underflow: c_hat = argmax_c [ log P(c) + sum(fi * log P(ti|c)) ]. Rennie et al. (2003) identified systematic weaknesses in the multinomial formulation when class vocabularies overlap and proposed Complement Naive Bayes as a remedy. Both were implemented and compared in the present work; the outcome is reported in Section 6.9.</w:t>
      </w:r>
    </w:p>
    <w:p>
      <w:pPr>
        <w:spacing w:before="200" w:after="100" w:line="276" w:lineRule="auto"/>
        <w:jc w:val="left"/>
        <w:keepNext/>
      </w:pPr>
      <w:r>
        <w:rPr>
          <w:rFonts w:ascii="Times New Roman" w:hAnsi="Times New Roman" w:cs="Times New Roman"/>
          <w:b/>
          <w:i/>
          <w:color w:val="000000"/>
          <w:sz w:val="23"/>
          <w:szCs w:val="23"/>
        </w:rPr>
        <w:t xml:space="preserve">2.3.3 Neural and transformer approaches</w:t>
      </w:r>
    </w:p>
    <w:p>
      <w:pPr>
        <w:spacing w:before="0" w:after="120" w:line="276" w:lineRule="auto"/>
        <w:jc w:val="both"/>
      </w:pPr>
      <w:r>
        <w:rPr>
          <w:rFonts w:ascii="Times New Roman" w:hAnsi="Times New Roman" w:cs="Times New Roman"/>
          <w:color w:val="000000"/>
          <w:sz w:val="22"/>
          <w:szCs w:val="22"/>
        </w:rPr>
        <w:t xml:space="preserve">Contemporary state-of-the-art intent classification uses contextual embeddings from pre-trained transformers, which capture word order and semantic similarity in a manner bag-of-words representations cannot. The accuracy advantage is substantial; the costs are a model of tens to hundreds of megabytes, inference latency, and a training requirement beyond what a corpus authored during an internship could satisfy. For a component that must execute in a browser and respond instantly, these costs were judged prohibitive at present scale — a limitation acknowledged directly in Section 9.2.</w:t>
      </w:r>
    </w:p>
    <w:p>
      <w:pPr>
        <w:spacing w:before="280" w:after="120" w:line="276" w:lineRule="auto"/>
        <w:jc w:val="left"/>
        <w:keepNext/>
      </w:pPr>
      <w:r>
        <w:rPr>
          <w:rFonts w:ascii="Times New Roman" w:hAnsi="Times New Roman" w:cs="Times New Roman"/>
          <w:b/>
          <w:color w:val="1F4E79"/>
          <w:sz w:val="26"/>
          <w:szCs w:val="26"/>
        </w:rPr>
        <w:t xml:space="preserve">2.4 Rationale for Replacing the Hosted Model</w:t>
      </w:r>
    </w:p>
    <w:p>
      <w:pPr>
        <w:spacing w:before="0" w:after="120" w:line="276" w:lineRule="auto"/>
        <w:jc w:val="both"/>
      </w:pPr>
      <w:r>
        <w:rPr>
          <w:rFonts w:ascii="Times New Roman" w:hAnsi="Times New Roman" w:cs="Times New Roman"/>
          <w:color w:val="000000"/>
          <w:sz w:val="22"/>
          <w:szCs w:val="22"/>
        </w:rPr>
        <w:t xml:space="preserve">The assistant's first implementation supplied business records as prompt context to a hosted generative model. Evaluation surfaced four objections. Every query transmitted order, invoice and expense records to a third-party endpoint. Each query incurred monetary cost and one to three seconds of latency. Availability depended on network connectivity and provider uptime. Most seriously, the model occasionally produced numerically incorrect figures stated with complete confidence — a tolerable failure mode for a drafting tool and an intolerable one for a system of record.</w:t>
      </w:r>
    </w:p>
    <w:p>
      <w:pPr>
        <w:spacing w:before="0" w:after="120" w:line="276" w:lineRule="auto"/>
        <w:jc w:val="both"/>
      </w:pPr>
      <w:r>
        <w:rPr>
          <w:rFonts w:ascii="Times New Roman" w:hAnsi="Times New Roman" w:cs="Times New Roman"/>
          <w:color w:val="000000"/>
          <w:sz w:val="22"/>
          <w:szCs w:val="22"/>
        </w:rPr>
        <w:t xml:space="preserve">The replacement inverts the relationship. The system parses the question, determines intent and entities, and then computes the answer arithmetically from live records. Numbers are never generated; they are calculated. Open-ended reasoning is forgone in exchange for determinism, zero marginal cost, complete data confidentiality and arithmetic correctness.</w:t>
      </w:r>
    </w:p>
    <w:p>
      <w:pPr>
        <w:spacing w:before="280" w:after="120" w:line="276" w:lineRule="auto"/>
        <w:jc w:val="left"/>
        <w:keepNext/>
      </w:pPr>
      <w:r>
        <w:rPr>
          <w:rFonts w:ascii="Times New Roman" w:hAnsi="Times New Roman" w:cs="Times New Roman"/>
          <w:b/>
          <w:color w:val="1F4E79"/>
          <w:sz w:val="26"/>
          <w:szCs w:val="26"/>
        </w:rPr>
        <w:t xml:space="preserve">2.5 Problem Statement</w:t>
      </w:r>
    </w:p>
    <w:p>
      <w:pPr>
        <w:spacing w:before="0" w:after="120" w:line="276" w:lineRule="auto"/>
        <w:jc w:val="both"/>
      </w:pPr>
      <w:r>
        <w:rPr>
          <w:rFonts w:ascii="Times New Roman" w:hAnsi="Times New Roman" w:cs="Times New Roman"/>
          <w:color w:val="000000"/>
          <w:sz w:val="22"/>
          <w:szCs w:val="22"/>
        </w:rPr>
        <w:t xml:space="preserve">The problem addressed by this work has two parts.</w:t>
      </w:r>
    </w:p>
    <w:p>
      <w:pPr>
        <w:spacing w:before="0" w:after="120" w:line="276" w:lineRule="auto"/>
        <w:jc w:val="both"/>
      </w:pPr>
      <w:r>
        <w:rPr>
          <w:rFonts w:ascii="Times New Roman" w:hAnsi="Times New Roman" w:cs="Times New Roman"/>
          <w:b/>
          <w:color w:val="000000"/>
          <w:sz w:val="22"/>
          <w:szCs w:val="22"/>
        </w:rPr>
        <w:t xml:space="preserve">Platform.</w:t>
      </w:r>
      <w:r>
        <w:rPr>
          <w:rFonts w:ascii="Times New Roman" w:hAnsi="Times New Roman" w:cs="Times New Roman"/>
          <w:color w:val="000000"/>
          <w:sz w:val="22"/>
          <w:szCs w:val="22"/>
        </w:rPr>
        <w:t xml:space="preserve"> To design and implement an integrated system that maintains a single authoritative record of orders, inventory, receivables, payables, channel-partner balances and field activity for a multi-tier distribution business, enforcing at the point of transaction those constraints that are otherwise discovered only during periodic reconciliation.</w:t>
      </w:r>
    </w:p>
    <w:p>
      <w:pPr>
        <w:spacing w:before="0" w:after="120" w:line="276" w:lineRule="auto"/>
        <w:jc w:val="both"/>
      </w:pPr>
      <w:r>
        <w:rPr>
          <w:rFonts w:ascii="Times New Roman" w:hAnsi="Times New Roman" w:cs="Times New Roman"/>
          <w:b/>
          <w:color w:val="000000"/>
          <w:sz w:val="22"/>
          <w:szCs w:val="22"/>
        </w:rPr>
        <w:t xml:space="preserve">Intelligence layer.</w:t>
      </w:r>
      <w:r>
        <w:rPr>
          <w:rFonts w:ascii="Times New Roman" w:hAnsi="Times New Roman" w:cs="Times New Roman"/>
          <w:color w:val="000000"/>
          <w:sz w:val="22"/>
          <w:szCs w:val="22"/>
        </w:rPr>
        <w:t xml:space="preserve"> Given a free-text business question from a non-technical operator, to determine intent and entities and return a numerically correct answer computed from live data — subject to the constraints that no business data leaves the client environment, that response is effectively instantaneous, that per-query cost is zero, and that figures are computed rather than generated. The system must additionally tolerate misspelling, support follow-up questions, decline explicitly when a question falls outside its competence, and expose its reasoning.</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3: System Analysis and Requirements</w:t>
      </w:r>
    </w:p>
    <w:p>
      <w:pPr>
        <w:spacing w:before="280" w:after="120" w:line="276" w:lineRule="auto"/>
        <w:jc w:val="left"/>
        <w:keepNext/>
      </w:pPr>
      <w:r>
        <w:rPr>
          <w:rFonts w:ascii="Times New Roman" w:hAnsi="Times New Roman" w:cs="Times New Roman"/>
          <w:b/>
          <w:color w:val="1F4E79"/>
          <w:sz w:val="26"/>
          <w:szCs w:val="26"/>
        </w:rPr>
        <w:t xml:space="preserve">3.1 Stakeholder Analysis</w:t>
      </w:r>
    </w:p>
    <w:p>
      <w:pPr>
        <w:spacing w:before="0" w:after="120" w:line="276" w:lineRule="auto"/>
        <w:jc w:val="both"/>
      </w:pPr>
      <w:r>
        <w:rPr>
          <w:rFonts w:ascii="Times New Roman" w:hAnsi="Times New Roman" w:cs="Times New Roman"/>
          <w:color w:val="000000"/>
          <w:sz w:val="22"/>
          <w:szCs w:val="22"/>
        </w:rPr>
        <w:t xml:space="preserve">Fifteen distinct roles were identified, spanning internal staff and external channel partners. The distinction matters architecturally: external partners access the same deployment as internal staff but must be confined to their own records, which makes access control a data-filtering problem rather than merely a navigation-hiding one.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444"/>
        <w:gridCol w:w="6956"/>
      </w:tblGrid>
      <w:tr>
        <w:trPr>
          <w:tblHeader/>
        </w:trPr>
        <w:tc>
          <w:tcPr>
            <w:tcW w:w="24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Role</w:t>
            </w:r>
          </w:p>
        </w:tc>
        <w:tc>
          <w:tcPr>
            <w:tcW w:w="69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Primary concern</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Super Admin</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System configuration, user administration, audit trail</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Director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Consolidated performance across all functions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Sales Manager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Team performance, territory coverage, pipeline health</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Sales Executive</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leads, own orders, own customers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Purchase Manager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Vendor management, purchase orders, goods receipt</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Warehouse Manager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Stock accuracy, batch and expiry control, transfers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Accounts</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Invoicing, receivables, payables, credit notes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Dispatch Team</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Fulfilment queue, dispatch readiness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Customer Support</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Complaint intake and resolution tracking</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Distributor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orders, own ledger, own incentive claims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Dealer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orders, own ledger, own outstanding balance</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Retailer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Own orders, own outstanding balance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3.1 — Stakeholder roles and their primary operational concerns. Three legacy role identifiers are additionally retained for backward compatibility with records created before the current model was introduced.</w:t>
      </w:r>
    </w:p>
    <w:p>
      <w:pPr>
        <w:spacing w:before="280" w:after="120" w:line="276" w:lineRule="auto"/>
        <w:jc w:val="left"/>
        <w:keepNext/>
      </w:pPr>
      <w:r>
        <w:rPr>
          <w:rFonts w:ascii="Times New Roman" w:hAnsi="Times New Roman" w:cs="Times New Roman"/>
          <w:b/>
          <w:color w:val="1F4E79"/>
          <w:sz w:val="26"/>
          <w:szCs w:val="26"/>
        </w:rPr>
        <w:t xml:space="preserve">3.2 Functional Requirements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068"/>
        <w:gridCol w:w="7332"/>
      </w:tblGrid>
      <w:tr>
        <w:trPr>
          <w:tblHeader/>
        </w:trPr>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Module</w:t>
            </w:r>
          </w:p>
        </w:tc>
        <w:tc>
          <w:tcPr>
            <w:tcW w:w="73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Requirement summary</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Lead management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Capture enquiries with source and expected value; progress through pipeline stages; convert to order on closure; schedule and track follow-ups</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Order management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Multi-line orders against the product catalogue; status progression with stage ownership; stock validation before dispatch; partial fulfilment; order splitting</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Inventory</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Batch-level stock with manufacture and expiry dates; expiry-aware allocation; multi-warehouse holdings with transfer; cycle counting with variance capture</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Channel management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Three-tier hierarchy of distributors, dealers and retailers; credit limits; outstanding balances; per-tier price lists; self-registration with approval</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Accounting</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Invoice generation from orders; payment recording; credit notes; expense capture by category; receivables and payables ageing</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Procurement</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Vendor master; purchase orders with ageing; goods receipt notes updating stock and payables; purchase returns; vendor payment against ledger</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Schemes and claims</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Scheme definition with product applicability and validity window; automatic eligibility evaluation at order entry; claim raising and verification</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Field-force automation</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Territory and beat plan definition; attendance capture; visit reporting with order linkage; field expense claims</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Analytics</w:t>
            </w:r>
          </w:p>
        </w:tc>
        <w:tc>
          <w:tcPr>
            <w:tcW w:w="7332" w:type="dxa"/>
            <w:vAlign w:val="top"/>
          </w:tcPr>
          <w:p>
            <w:pPr>
              <w:spacing w:before="20" w:after="20" w:line="240" w:lineRule="auto"/>
              <w:jc w:val="left"/>
            </w:pPr>
            <w:r>
              <w:rPr>
                <w:rFonts w:ascii="Times New Roman" w:hAnsi="Times New Roman" w:cs="Times New Roman"/>
                <w:color w:val="000000"/>
                <w:sz w:val="19"/>
                <w:szCs w:val="19"/>
              </w:rPr>
              <w:t xml:space="preserve">Role-specific dashboards; configurable report library with export; predictive indicators; natural language query interface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3.2 — Functional requirements by module.</w:t>
      </w:r>
    </w:p>
    <w:p>
      <w:pPr>
        <w:spacing w:before="280" w:after="120" w:line="276" w:lineRule="auto"/>
        <w:jc w:val="left"/>
        <w:keepNext/>
      </w:pPr>
      <w:r>
        <w:rPr>
          <w:rFonts w:ascii="Times New Roman" w:hAnsi="Times New Roman" w:cs="Times New Roman"/>
          <w:b/>
          <w:color w:val="1F4E79"/>
          <w:sz w:val="26"/>
          <w:szCs w:val="26"/>
        </w:rPr>
        <w:t xml:space="preserve">3.3 Non-Functional Requirements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Data integrity.</w:t>
      </w:r>
      <w:r>
        <w:rPr>
          <w:rFonts w:ascii="Times New Roman" w:hAnsi="Times New Roman" w:cs="Times New Roman"/>
          <w:color w:val="000000"/>
          <w:sz w:val="22"/>
          <w:szCs w:val="22"/>
        </w:rPr>
        <w:t xml:space="preserve"> Constraints that determine financial outcome — available stock, credit limit, scheme eligibility — must be enforced at the point of transaction, not discovered during later reconciliation.</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Confidentiality.</w:t>
      </w:r>
      <w:r>
        <w:rPr>
          <w:rFonts w:ascii="Times New Roman" w:hAnsi="Times New Roman" w:cs="Times New Roman"/>
          <w:color w:val="000000"/>
          <w:sz w:val="22"/>
          <w:szCs w:val="22"/>
        </w:rPr>
        <w:t xml:space="preserve"> Channel partners share a deployment with internal staff and with one another; no partner may observe another's records under any navigation path.</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Responsiveness.</w:t>
      </w:r>
      <w:r>
        <w:rPr>
          <w:rFonts w:ascii="Times New Roman" w:hAnsi="Times New Roman" w:cs="Times New Roman"/>
          <w:color w:val="000000"/>
          <w:sz w:val="22"/>
          <w:szCs w:val="22"/>
        </w:rPr>
        <w:t xml:space="preserve"> The interface must render usable content immediately on load. An early build blocked first paint on a sequence of network fetches, producing a five-to-six second delay; the remedy is described in Section 5.8.</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Resilience.</w:t>
      </w:r>
      <w:r>
        <w:rPr>
          <w:rFonts w:ascii="Times New Roman" w:hAnsi="Times New Roman" w:cs="Times New Roman"/>
          <w:color w:val="000000"/>
          <w:sz w:val="22"/>
          <w:szCs w:val="22"/>
        </w:rPr>
        <w:t xml:space="preserve"> The application must remain usable when the network is unavailable, reading from a local cache and reconciling when connectivity returns.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Auditability.</w:t>
      </w:r>
      <w:r>
        <w:rPr>
          <w:rFonts w:ascii="Times New Roman" w:hAnsi="Times New Roman" w:cs="Times New Roman"/>
          <w:color w:val="000000"/>
          <w:sz w:val="22"/>
          <w:szCs w:val="22"/>
        </w:rPr>
        <w:t xml:space="preserve"> Consequential actions must be recorded with actor, timestamp and affected entity.</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Data residency.</w:t>
      </w:r>
      <w:r>
        <w:rPr>
          <w:rFonts w:ascii="Times New Roman" w:hAnsi="Times New Roman" w:cs="Times New Roman"/>
          <w:color w:val="000000"/>
          <w:sz w:val="22"/>
          <w:szCs w:val="22"/>
        </w:rPr>
        <w:t xml:space="preserve"> No business data may be transmitted to any third-party service, which is the constraint that determined the architecture of the intelligence layer.</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4: System Design and Architecture</w:t>
      </w:r>
    </w:p>
    <w:p>
      <w:pPr>
        <w:spacing w:before="280" w:after="120" w:line="276" w:lineRule="auto"/>
        <w:jc w:val="left"/>
        <w:keepNext/>
      </w:pPr>
      <w:r>
        <w:rPr>
          <w:rFonts w:ascii="Times New Roman" w:hAnsi="Times New Roman" w:cs="Times New Roman"/>
          <w:b/>
          <w:color w:val="1F4E79"/>
          <w:sz w:val="26"/>
          <w:szCs w:val="26"/>
        </w:rPr>
        <w:t xml:space="preserve">4.1 Architectural Overview</w:t>
      </w:r>
    </w:p>
    <w:p>
      <w:pPr>
        <w:spacing w:before="0" w:after="120" w:line="276" w:lineRule="auto"/>
        <w:jc w:val="both"/>
      </w:pPr>
      <w:r>
        <w:rPr>
          <w:rFonts w:ascii="Times New Roman" w:hAnsi="Times New Roman" w:cs="Times New Roman"/>
          <w:color w:val="000000"/>
          <w:sz w:val="22"/>
          <w:szCs w:val="22"/>
        </w:rPr>
        <w:t xml:space="preserve">The system follows a three-tier arrangement. The presentation tier is a single-page application; the logic tier is implemented as a state-management layer that owns every mutation; and the data tier is a managed PostgreSQL instance. Business logic is deliberately concentrated in a single provider module rather than distributed across screens, so that an operation such as order confirmation applies inventory deduction, invoice generation, incentive evaluation and audit logging identically regardless of which screen initiated it.</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PRESENTATION TIER                                          |</w:t>
      </w:r>
    </w:p>
    <w:p>
      <w:pPr>
        <w:shd w:val="clear" w:color="auto" w:fill="F2F2F2"/>
        <w:ind w:left="180" w:hanging="0"/>
        <w:spacing w:before="0" w:after="0" w:line="240" w:lineRule="auto"/>
        <w:jc w:val="left"/>
      </w:pPr>
      <w:r>
        <w:rPr>
          <w:rFonts w:ascii="Consolas" w:hAnsi="Consolas" w:cs="Consolas"/>
          <w:color w:val="000000"/>
          <w:sz w:val="17"/>
          <w:szCs w:val="17"/>
        </w:rPr>
        <w:t xml:space="preserve">    |  34 screens - role-branching, permission-guarded routes     |</w:t>
      </w:r>
    </w:p>
    <w:p>
      <w:pPr>
        <w:shd w:val="clear" w:color="auto" w:fill="F2F2F2"/>
        <w:ind w:left="180" w:hanging="0"/>
        <w:spacing w:before="0" w:after="0" w:line="240" w:lineRule="auto"/>
        <w:jc w:val="left"/>
      </w:pPr>
      <w:r>
        <w:rPr>
          <w:rFonts w:ascii="Consolas" w:hAnsi="Consolas" w:cs="Consolas"/>
          <w:color w:val="000000"/>
          <w:sz w:val="17"/>
          <w:szCs w:val="17"/>
        </w:rPr>
        <w:t xml:space="preserve">    |  React 18 - React Router - Tailwind CSS - Recharts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LOGIC TIER  (React Context providers)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AuthContext          - identity, 15 roles, 21 permissions  |</w:t>
      </w:r>
    </w:p>
    <w:p>
      <w:pPr>
        <w:shd w:val="clear" w:color="auto" w:fill="F2F2F2"/>
        <w:ind w:left="180" w:hanging="0"/>
        <w:spacing w:before="0" w:after="0" w:line="240" w:lineRule="auto"/>
        <w:jc w:val="left"/>
      </w:pPr>
      <w:r>
        <w:rPr>
          <w:rFonts w:ascii="Consolas" w:hAnsi="Consolas" w:cs="Consolas"/>
          <w:color w:val="000000"/>
          <w:sz w:val="17"/>
          <w:szCs w:val="17"/>
        </w:rPr>
        <w:t xml:space="preserve">    |  DataContext          - all entity state + every mutation   |</w:t>
      </w:r>
    </w:p>
    <w:p>
      <w:pPr>
        <w:shd w:val="clear" w:color="auto" w:fill="F2F2F2"/>
        <w:ind w:left="180" w:hanging="0"/>
        <w:spacing w:before="0" w:after="0" w:line="240" w:lineRule="auto"/>
        <w:jc w:val="left"/>
      </w:pPr>
      <w:r>
        <w:rPr>
          <w:rFonts w:ascii="Consolas" w:hAnsi="Consolas" w:cs="Consolas"/>
          <w:color w:val="000000"/>
          <w:sz w:val="17"/>
          <w:szCs w:val="17"/>
        </w:rPr>
        <w:t xml:space="preserve">    |  NotificationContext  - threshold and event alerts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Domain services:  prismEngine (NLP)  -  naiveBayes (ML)    |</w:t>
      </w:r>
    </w:p>
    <w:p>
      <w:pPr>
        <w:shd w:val="clear" w:color="auto" w:fill="F2F2F2"/>
        <w:ind w:left="180" w:hanging="0"/>
        <w:spacing w:before="0" w:after="0" w:line="240" w:lineRule="auto"/>
        <w:jc w:val="left"/>
      </w:pPr>
      <w:r>
        <w:rPr>
          <w:rFonts w:ascii="Consolas" w:hAnsi="Consolas" w:cs="Consolas"/>
          <w:color w:val="000000"/>
          <w:sz w:val="17"/>
          <w:szCs w:val="17"/>
        </w:rPr>
        <w:t xml:space="preserve">    |                    schemeUtils  -  distributorUtils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DATA TIER                                                  |</w:t>
      </w:r>
    </w:p>
    <w:p>
      <w:pPr>
        <w:shd w:val="clear" w:color="auto" w:fill="F2F2F2"/>
        <w:ind w:left="180" w:hanging="0"/>
        <w:spacing w:before="0" w:after="0" w:line="240" w:lineRule="auto"/>
        <w:jc w:val="left"/>
      </w:pPr>
      <w:r>
        <w:rPr>
          <w:rFonts w:ascii="Consolas" w:hAnsi="Consolas" w:cs="Consolas"/>
          <w:color w:val="000000"/>
          <w:sz w:val="17"/>
          <w:szCs w:val="17"/>
        </w:rPr>
        <w:t xml:space="preserve">    |  Supabase / PostgreSQL - 30 tables                          |</w:t>
      </w:r>
    </w:p>
    <w:p>
      <w:pPr>
        <w:shd w:val="clear" w:color="auto" w:fill="F2F2F2"/>
        <w:ind w:left="180" w:hanging="0"/>
        <w:spacing w:before="0" w:after="0" w:line="240" w:lineRule="auto"/>
        <w:jc w:val="left"/>
      </w:pPr>
      <w:r>
        <w:rPr>
          <w:rFonts w:ascii="Consolas" w:hAnsi="Consolas" w:cs="Consolas"/>
          <w:color w:val="000000"/>
          <w:sz w:val="17"/>
          <w:szCs w:val="17"/>
        </w:rPr>
        <w:t xml:space="preserve">    |  localStorage mirror - offline read + instant first paint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4.1 — Three-tier system architecture.</w:t>
      </w:r>
    </w:p>
    <w:p>
      <w:pPr>
        <w:spacing w:before="280" w:after="120" w:line="276" w:lineRule="auto"/>
        <w:jc w:val="left"/>
        <w:keepNext/>
      </w:pPr>
      <w:r>
        <w:rPr>
          <w:rFonts w:ascii="Times New Roman" w:hAnsi="Times New Roman" w:cs="Times New Roman"/>
          <w:b/>
          <w:color w:val="1F4E79"/>
          <w:sz w:val="26"/>
          <w:szCs w:val="26"/>
        </w:rPr>
        <w:t xml:space="preserve">4.2 Persistence Strategy</w:t>
      </w:r>
    </w:p>
    <w:p>
      <w:pPr>
        <w:spacing w:before="0" w:after="120" w:line="276" w:lineRule="auto"/>
        <w:jc w:val="both"/>
      </w:pPr>
      <w:r>
        <w:rPr>
          <w:rFonts w:ascii="Times New Roman" w:hAnsi="Times New Roman" w:cs="Times New Roman"/>
          <w:color w:val="000000"/>
          <w:sz w:val="22"/>
          <w:szCs w:val="22"/>
        </w:rPr>
        <w:t xml:space="preserve">Every entity is written to PostgreSQL and mirrored to browser local storage. The mirror serves two purposes. It permits the interface to render from cache on load while the authoritative fetch proceeds in the background, and it allows continued operation when the network is unavailable. The database remains authoritative: a background fetch overwrites the mirror, so a conflict resolves in favour of the server.</w:t>
      </w:r>
    </w:p>
    <w:p>
      <w:pPr>
        <w:spacing w:before="280" w:after="120" w:line="276" w:lineRule="auto"/>
        <w:jc w:val="left"/>
        <w:keepNext/>
      </w:pPr>
      <w:r>
        <w:rPr>
          <w:rFonts w:ascii="Times New Roman" w:hAnsi="Times New Roman" w:cs="Times New Roman"/>
          <w:b/>
          <w:color w:val="1F4E79"/>
          <w:sz w:val="26"/>
          <w:szCs w:val="26"/>
        </w:rPr>
        <w:t xml:space="preserve">4.3 Data Model</w:t>
      </w:r>
    </w:p>
    <w:p>
      <w:pPr>
        <w:spacing w:before="0" w:after="120" w:line="276" w:lineRule="auto"/>
        <w:jc w:val="both"/>
      </w:pPr>
      <w:r>
        <w:rPr>
          <w:rFonts w:ascii="Times New Roman" w:hAnsi="Times New Roman" w:cs="Times New Roman"/>
          <w:color w:val="000000"/>
          <w:sz w:val="22"/>
          <w:szCs w:val="22"/>
        </w:rPr>
        <w:t xml:space="preserve">The schema comprises thirty tables. The grouping below reflects the operational cycles they serve rather than their creation order.</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444"/>
        <w:gridCol w:w="6956"/>
      </w:tblGrid>
      <w:tr>
        <w:trPr>
          <w:tblHeader/>
        </w:trPr>
        <w:tc>
          <w:tcPr>
            <w:tcW w:w="24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Group</w:t>
            </w:r>
          </w:p>
        </w:tc>
        <w:tc>
          <w:tcPr>
            <w:tcW w:w="69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Tables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Identity and configuration</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users, territories, warehouses, events, notifications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Customer relationship</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leads, complaints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Channel hierarchy</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distributors, dealers, retailers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Order to cash</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orders, invoices, credit_notes, distributor_payments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Inventory</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products, inventory, stock_transfers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Procure to pay</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vendors, purchase_orders, grn, purchase_returns, vendor_payments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Financial</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expenses, bank_transactions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Trade schemes</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schemes, scheme_claims, distributor_incentives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Field force</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beat_plans, attendance, visit_reports</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4.1 — Database schema, thirty tables grouped by operational cycle.</w:t>
      </w:r>
    </w:p>
    <w:p>
      <w:pPr>
        <w:spacing w:before="0" w:after="120" w:line="276" w:lineRule="auto"/>
        <w:jc w:val="both"/>
      </w:pPr>
      <w:r>
        <w:rPr>
          <w:rFonts w:ascii="Times New Roman" w:hAnsi="Times New Roman" w:cs="Times New Roman"/>
          <w:color w:val="000000"/>
          <w:sz w:val="22"/>
          <w:szCs w:val="22"/>
        </w:rPr>
        <w:t xml:space="preserve">The relationships between the nine groups follow the operational sequence a transaction moves through, from a lead's first conversion into an order to its eventual settlement.</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leads --convert--&gt; orders --deliver--&gt; inventory (FEFO batch deduction)</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v                       |</w:t>
      </w:r>
    </w:p>
    <w:p>
      <w:pPr>
        <w:shd w:val="clear" w:color="auto" w:fill="F2F2F2"/>
        <w:ind w:left="180" w:hanging="0"/>
        <w:spacing w:before="0" w:after="0" w:line="240" w:lineRule="auto"/>
        <w:jc w:val="left"/>
      </w:pPr>
      <w:r>
        <w:rPr>
          <w:rFonts w:ascii="Consolas" w:hAnsi="Consolas" w:cs="Consolas"/>
          <w:color w:val="000000"/>
          <w:sz w:val="17"/>
          <w:szCs w:val="17"/>
        </w:rPr>
        <w:t xml:space="preserve">                        invoices              purchase_orders --grn--&gt; vendors</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v                       |</w:t>
      </w:r>
    </w:p>
    <w:p>
      <w:pPr>
        <w:shd w:val="clear" w:color="auto" w:fill="F2F2F2"/>
        <w:ind w:left="180" w:hanging="0"/>
        <w:spacing w:before="0" w:after="0" w:line="240" w:lineRule="auto"/>
        <w:jc w:val="left"/>
      </w:pPr>
      <w:r>
        <w:rPr>
          <w:rFonts w:ascii="Consolas" w:hAnsi="Consolas" w:cs="Consolas"/>
          <w:color w:val="000000"/>
          <w:sz w:val="17"/>
          <w:szCs w:val="17"/>
        </w:rPr>
        <w:t xml:space="preserve">                      credit_notes           purchase_returns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distributors / dealers / retailers --place--&gt; orders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w:t>
      </w:r>
    </w:p>
    <w:p>
      <w:pPr>
        <w:shd w:val="clear" w:color="auto" w:fill="F2F2F2"/>
        <w:ind w:left="180" w:hanging="0"/>
        <w:spacing w:before="0" w:after="0" w:line="240" w:lineRule="auto"/>
        <w:jc w:val="left"/>
      </w:pPr>
      <w:r>
        <w:rPr>
          <w:rFonts w:ascii="Consolas" w:hAnsi="Consolas" w:cs="Consolas"/>
          <w:color w:val="000000"/>
          <w:sz w:val="17"/>
          <w:szCs w:val="17"/>
        </w:rPr>
        <w:t xml:space="preserve">              distributor_payments, scheme_claims, distributor_incentives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territories --assign--&gt; beat_plans --record--&gt; attendance, visit_reports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w:t>
      </w:r>
    </w:p>
    <w:p>
      <w:pPr>
        <w:shd w:val="clear" w:color="auto" w:fill="F2F2F2"/>
        <w:ind w:left="180" w:hanging="0"/>
        <w:spacing w:before="0" w:after="0" w:line="240" w:lineRule="auto"/>
        <w:jc w:val="left"/>
      </w:pPr>
      <w:r>
        <w:rPr>
          <w:rFonts w:ascii="Consolas" w:hAnsi="Consolas" w:cs="Consolas"/>
          <w:color w:val="000000"/>
          <w:sz w:val="17"/>
          <w:szCs w:val="17"/>
        </w:rPr>
        <w:t xml:space="preserve">                                                 visit_reports --link--&gt; orders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4.2 — Entity relationship overview: the operational sequence connecting the nine table groups of Table 4.1, from lead conversion through fulfilment, billing and channel settlement.</w:t>
      </w:r>
    </w:p>
    <w:p>
      <w:pPr>
        <w:spacing w:before="280" w:after="120" w:line="276" w:lineRule="auto"/>
        <w:jc w:val="left"/>
        <w:keepNext/>
      </w:pPr>
      <w:r>
        <w:rPr>
          <w:rFonts w:ascii="Times New Roman" w:hAnsi="Times New Roman" w:cs="Times New Roman"/>
          <w:b/>
          <w:color w:val="1F4E79"/>
          <w:sz w:val="26"/>
          <w:szCs w:val="26"/>
        </w:rPr>
        <w:t xml:space="preserve">4.4 Access Control Model</w:t>
      </w:r>
    </w:p>
    <w:p>
      <w:pPr>
        <w:spacing w:before="0" w:after="120" w:line="276" w:lineRule="auto"/>
        <w:jc w:val="both"/>
      </w:pPr>
      <w:r>
        <w:rPr>
          <w:rFonts w:ascii="Times New Roman" w:hAnsi="Times New Roman" w:cs="Times New Roman"/>
          <w:color w:val="000000"/>
          <w:sz w:val="22"/>
          <w:szCs w:val="22"/>
        </w:rPr>
        <w:t xml:space="preserve">Authorisation is expressed as a matrix of fifteen roles against twenty-one permission domains, each cell taking one of four levels. The model was verified programmatically to confirm that every role carries an explicit entry for every domain, since an absent entry would default to a permissive interpretation.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1504"/>
        <w:gridCol w:w="7896"/>
      </w:tblGrid>
      <w:tr>
        <w:trPr>
          <w:tblHeader/>
        </w:trPr>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Level</w:t>
            </w:r>
          </w:p>
        </w:tc>
        <w:tc>
          <w:tcPr>
            <w:tcW w:w="789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Semantics</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full</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Read and write across all records in the domain</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view</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Read across all records; no mutation</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own</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Read and write confined to records the user owns or is assigned</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none</w:t>
            </w:r>
          </w:p>
        </w:tc>
        <w:tc>
          <w:tcPr>
            <w:tcW w:w="7896" w:type="dxa"/>
            <w:vAlign w:val="top"/>
          </w:tcPr>
          <w:p>
            <w:pPr>
              <w:spacing w:before="20" w:after="20" w:line="240" w:lineRule="auto"/>
              <w:jc w:val="left"/>
            </w:pPr>
            <w:r>
              <w:rPr>
                <w:rFonts w:ascii="Times New Roman" w:hAnsi="Times New Roman" w:cs="Times New Roman"/>
                <w:color w:val="000000"/>
                <w:sz w:val="19"/>
                <w:szCs w:val="19"/>
              </w:rPr>
              <w:t xml:space="preserve">Domain is inaccessible; route is not reachable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4.2 — Role-based permission model, access levels.</w:t>
      </w:r>
    </w:p>
    <w:p>
      <w:pPr>
        <w:spacing w:before="0" w:after="120" w:line="276" w:lineRule="auto"/>
        <w:jc w:val="both"/>
      </w:pPr>
      <w:r>
        <w:rPr>
          <w:rFonts w:ascii="Times New Roman" w:hAnsi="Times New Roman" w:cs="Times New Roman"/>
          <w:color w:val="000000"/>
          <w:sz w:val="22"/>
          <w:szCs w:val="22"/>
        </w:rPr>
        <w:t xml:space="preserve">The </w:t>
      </w:r>
      <w:r>
        <w:rPr>
          <w:rFonts w:ascii="Times New Roman" w:hAnsi="Times New Roman" w:cs="Times New Roman"/>
          <w:b/>
          <w:color w:val="000000"/>
          <w:sz w:val="22"/>
          <w:szCs w:val="22"/>
        </w:rPr>
        <w:t xml:space="preserve">own</w:t>
      </w:r>
      <w:r>
        <w:rPr>
          <w:rFonts w:ascii="Times New Roman" w:hAnsi="Times New Roman" w:cs="Times New Roman"/>
          <w:color w:val="000000"/>
          <w:sz w:val="22"/>
          <w:szCs w:val="22"/>
        </w:rPr>
        <w:t xml:space="preserve"> level is what makes a shared deployment safe for external partners. It is enforced by an ownership predicate applied to every collection read, so a distributor querying orders receives only those bearing their identifier — the filter is applied in the data layer rather than in each screen, which prevents a screen author from omitting it.</w:t>
      </w:r>
    </w:p>
    <w:p>
      <w:pPr>
        <w:spacing w:before="0" w:after="120" w:line="276" w:lineRule="auto"/>
        <w:jc w:val="both"/>
      </w:pPr>
      <w:r>
        <w:rPr>
          <w:rFonts w:ascii="Times New Roman" w:hAnsi="Times New Roman" w:cs="Times New Roman"/>
          <w:color w:val="000000"/>
          <w:sz w:val="22"/>
          <w:szCs w:val="22"/>
        </w:rPr>
        <w:t xml:space="preserve">A systematic defect in this area is documented in Section 8.3: a substantial number of authorisation checks had been written against legacy role strings that no seeded account actually carried, causing them to fail silently.</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5: Module Implementation</w:t>
      </w:r>
    </w:p>
    <w:p>
      <w:pPr>
        <w:spacing w:before="280" w:after="120" w:line="276" w:lineRule="auto"/>
        <w:jc w:val="left"/>
        <w:keepNext/>
      </w:pPr>
      <w:r>
        <w:rPr>
          <w:rFonts w:ascii="Times New Roman" w:hAnsi="Times New Roman" w:cs="Times New Roman"/>
          <w:b/>
          <w:color w:val="1F4E79"/>
          <w:sz w:val="26"/>
          <w:szCs w:val="26"/>
        </w:rPr>
        <w:t xml:space="preserve">5.1 Implemented Modules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256"/>
        <w:gridCol w:w="7144"/>
      </w:tblGrid>
      <w:tr>
        <w:trPr>
          <w:tblHeader/>
        </w:trPr>
        <w:tc>
          <w:tcPr>
            <w:tcW w:w="22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Module</w:t>
            </w:r>
          </w:p>
        </w:tc>
        <w:tc>
          <w:tcPr>
            <w:tcW w:w="71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Scope delivered</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Authentication and RBAC</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Session handling; 15 roles across 21 permission domains; route guards; ownership-scoped data filtering; password policy</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Lead management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Pipeline board with stage progression; source and value capture; follow-up scheduling; conversion to order</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Order management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Multi-line orders; seven-state fulfilment hierarchy with stage ownership; stock validation gates; partial delivery; order splitting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Inventory</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Batch-level stock with expiry; expiry-aware allocation; multi-warehouse transfer; cycle counting with variance</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Channel management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Distributor, dealer and retailer masters; credit limits; outstanding balances; ledger views; self-registration with approval</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Accounting</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Invoice generation; payment recording; credit notes; expense capture; receivables and payables ageing</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Procurement</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Vendor master with payables; purchase orders with ageing indicators; goods receipt updating stock and payables; returns</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Schemes and claims</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Scheme definition with product applicability; automatic eligibility at order entry; claim raising and verification</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Field-force automation</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Territory and beat plans; attendance; visit reporting with order linkage; field expense claims</w:t>
            </w:r>
          </w:p>
        </w:tc>
      </w:tr>
      <w:tr>
        <w:tc>
          <w:tcPr>
            <w:tcW w:w="2256" w:type="dxa"/>
            <w:vAlign w:val="top"/>
          </w:tcPr>
          <w:p>
            <w:pPr>
              <w:spacing w:before="20" w:after="20" w:line="240" w:lineRule="auto"/>
              <w:jc w:val="left"/>
            </w:pPr>
            <w:r>
              <w:rPr>
                <w:rFonts w:ascii="Times New Roman" w:hAnsi="Times New Roman" w:cs="Times New Roman"/>
                <w:color w:val="000000"/>
                <w:sz w:val="19"/>
                <w:szCs w:val="19"/>
              </w:rPr>
              <w:t xml:space="preserve">Analytics and reporting</w:t>
            </w:r>
          </w:p>
        </w:tc>
        <w:tc>
          <w:tcPr>
            <w:tcW w:w="7144" w:type="dxa"/>
            <w:vAlign w:val="top"/>
          </w:tcPr>
          <w:p>
            <w:pPr>
              <w:spacing w:before="20" w:after="20" w:line="240" w:lineRule="auto"/>
              <w:jc w:val="left"/>
            </w:pPr>
            <w:r>
              <w:rPr>
                <w:rFonts w:ascii="Times New Roman" w:hAnsi="Times New Roman" w:cs="Times New Roman"/>
                <w:color w:val="000000"/>
                <w:sz w:val="19"/>
                <w:szCs w:val="19"/>
              </w:rPr>
              <w:t xml:space="preserve">Role-specific dashboards; report library across five categories with export; predictive indicators; natural language interface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5.1 — Implemented modules and their scope.</w:t>
      </w:r>
    </w:p>
    <w:p>
      <w:pPr>
        <w:spacing w:before="280" w:after="120" w:line="276" w:lineRule="auto"/>
        <w:jc w:val="left"/>
        <w:keepNext/>
      </w:pPr>
      <w:r>
        <w:rPr>
          <w:rFonts w:ascii="Times New Roman" w:hAnsi="Times New Roman" w:cs="Times New Roman"/>
          <w:b/>
          <w:color w:val="1F4E79"/>
          <w:sz w:val="26"/>
          <w:szCs w:val="26"/>
        </w:rPr>
        <w:t xml:space="preserve">5.2 Order-to-Cash with Stock Validation</w:t>
      </w:r>
    </w:p>
    <w:p>
      <w:pPr>
        <w:spacing w:before="0" w:after="120" w:line="276" w:lineRule="auto"/>
        <w:jc w:val="both"/>
      </w:pPr>
      <w:r>
        <w:rPr>
          <w:rFonts w:ascii="Times New Roman" w:hAnsi="Times New Roman" w:cs="Times New Roman"/>
          <w:color w:val="000000"/>
          <w:sz w:val="22"/>
          <w:szCs w:val="22"/>
        </w:rPr>
        <w:t xml:space="preserve">The order lifecycle is the process where the greatest number of constraints intersect, and it received correspondingly close attention. Orders progress through seven states, each owned by a specific role group, so that a sales executive cannot mark goods dispatched and a dispatch operator cannot alter commercial terms.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068"/>
        <w:gridCol w:w="2068"/>
        <w:gridCol w:w="5264"/>
      </w:tblGrid>
      <w:tr>
        <w:trPr>
          <w:tblHeader/>
        </w:trPr>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State</w:t>
            </w:r>
          </w:p>
        </w:tc>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Stage owner</w:t>
            </w:r>
          </w:p>
        </w:tc>
        <w:tc>
          <w:tcPr>
            <w:tcW w:w="526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Effect on entering</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Pending</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Sales</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Order recorded; stock not yet committed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Processing</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Sales / Manager</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Commercial terms confirmed; scheme eligibility evaluated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Ready for Dispatch</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Warehouse</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Availability validated against batch stock</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Shipped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Dispatch</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Consignment released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Partially Delivered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Dispatch</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Delivered quantity recorded; balance remains open</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Delivered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Dispatch</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Stock deducted by expiry order; invoice raised; incentive evaluated</w:t>
            </w:r>
          </w:p>
        </w:tc>
      </w:tr>
      <w:tr>
        <w:tc>
          <w:tcPr>
            <w:tcW w:w="2068" w:type="dxa"/>
            <w:vAlign w:val="top"/>
          </w:tcPr>
          <w:p>
            <w:pPr>
              <w:spacing w:before="20" w:after="20" w:line="240" w:lineRule="auto"/>
              <w:jc w:val="left"/>
            </w:pPr>
            <w:r>
              <w:rPr>
                <w:rFonts w:ascii="Times New Roman" w:hAnsi="Times New Roman" w:cs="Times New Roman"/>
                <w:color w:val="000000"/>
                <w:sz w:val="19"/>
                <w:szCs w:val="19"/>
              </w:rPr>
              <w:t xml:space="preserve">Cancelled</w:t>
            </w:r>
          </w:p>
        </w:tc>
        <w:tc>
          <w:tcPr>
            <w:tcW w:w="2068" w:type="dxa"/>
            <w:vAlign w:val="top"/>
          </w:tcPr>
          <w:p>
            <w:pPr>
              <w:spacing w:before="20" w:after="20" w:line="240" w:lineRule="auto"/>
              <w:jc w:val="left"/>
            </w:pPr>
            <w:r>
              <w:rPr>
                <w:rFonts w:ascii="Times New Roman" w:hAnsi="Times New Roman" w:cs="Times New Roman"/>
                <w:color w:val="000000"/>
                <w:sz w:val="19"/>
                <w:szCs w:val="19"/>
              </w:rPr>
              <w:t xml:space="preserve">Sales / Manager</w:t>
            </w:r>
          </w:p>
        </w:tc>
        <w:tc>
          <w:tcPr>
            <w:tcW w:w="5264" w:type="dxa"/>
            <w:vAlign w:val="top"/>
          </w:tcPr>
          <w:p>
            <w:pPr>
              <w:spacing w:before="20" w:after="20" w:line="240" w:lineRule="auto"/>
              <w:jc w:val="left"/>
            </w:pPr>
            <w:r>
              <w:rPr>
                <w:rFonts w:ascii="Times New Roman" w:hAnsi="Times New Roman" w:cs="Times New Roman"/>
                <w:color w:val="000000"/>
                <w:sz w:val="19"/>
                <w:szCs w:val="19"/>
              </w:rPr>
              <w:t xml:space="preserve">Order closed without fulfilment</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5.2 — Order fulfilment status hierarchy and stage ownership.</w:t>
      </w:r>
    </w:p>
    <w:p>
      <w:pPr>
        <w:spacing w:before="0" w:after="120" w:line="276" w:lineRule="auto"/>
        <w:jc w:val="both"/>
      </w:pPr>
      <w:r>
        <w:rPr>
          <w:rFonts w:ascii="Times New Roman" w:hAnsi="Times New Roman" w:cs="Times New Roman"/>
          <w:color w:val="000000"/>
          <w:sz w:val="22"/>
          <w:szCs w:val="22"/>
        </w:rPr>
        <w:t xml:space="preserve">A defect of consequence was identified here during verification. The availability check guarded only the transition to *Ready for Dispatch*, leaving *Shipped* and *Delivered* reachable directly. An order for 450 units was consequently marked delivered against 250 units of physical stock, producing a negative on-hand position that propagated into valuation. The remedy extended the guard across all three forward transitions.</w:t>
      </w:r>
    </w:p>
    <w:p>
      <w:pPr>
        <w:spacing w:before="0" w:after="120" w:line="276" w:lineRule="auto"/>
        <w:jc w:val="both"/>
      </w:pPr>
      <w:r>
        <w:rPr>
          <w:rFonts w:ascii="Times New Roman" w:hAnsi="Times New Roman" w:cs="Times New Roman"/>
          <w:color w:val="000000"/>
          <w:sz w:val="22"/>
          <w:szCs w:val="22"/>
        </w:rPr>
        <w:t xml:space="preserve">The remedy created a second problem: a genuine shortfall now blocked the order entirely, whereas the business practice is to deliver what exists and hold the balance. A partial delivery mechanism was therefore added, recording a cumulative delivered quantity against the order and holding it in a *Partially Delivered* state until fulfilment completes.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Order placed (450 units)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w:t>
      </w:r>
    </w:p>
    <w:p>
      <w:pPr>
        <w:shd w:val="clear" w:color="auto" w:fill="F2F2F2"/>
        <w:ind w:left="180" w:hanging="0"/>
        <w:spacing w:before="0" w:after="0" w:line="240" w:lineRule="auto"/>
        <w:jc w:val="left"/>
      </w:pPr>
      <w:r>
        <w:rPr>
          <w:rFonts w:ascii="Consolas" w:hAnsi="Consolas" w:cs="Consolas"/>
          <w:color w:val="000000"/>
          <w:sz w:val="17"/>
          <w:szCs w:val="17"/>
        </w:rPr>
        <w:t xml:space="preserve">    +-------------------+   stock available?</w:t>
      </w:r>
    </w:p>
    <w:p>
      <w:pPr>
        <w:shd w:val="clear" w:color="auto" w:fill="F2F2F2"/>
        <w:ind w:left="180" w:hanging="0"/>
        <w:spacing w:before="0" w:after="0" w:line="240" w:lineRule="auto"/>
        <w:jc w:val="left"/>
      </w:pPr>
      <w:r>
        <w:rPr>
          <w:rFonts w:ascii="Consolas" w:hAnsi="Consolas" w:cs="Consolas"/>
          <w:color w:val="000000"/>
          <w:sz w:val="17"/>
          <w:szCs w:val="17"/>
        </w:rPr>
        <w:t xml:space="preserve">    |  Ready to dispatch| ------ no -----&gt; blocked, with shortfall stated</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yes                                v</w:t>
      </w:r>
    </w:p>
    <w:p>
      <w:pPr>
        <w:shd w:val="clear" w:color="auto" w:fill="F2F2F2"/>
        <w:ind w:left="180" w:hanging="0"/>
        <w:spacing w:before="0" w:after="0" w:line="240" w:lineRule="auto"/>
        <w:jc w:val="left"/>
      </w:pPr>
      <w:r>
        <w:rPr>
          <w:rFonts w:ascii="Consolas" w:hAnsi="Consolas" w:cs="Consolas"/>
          <w:color w:val="000000"/>
          <w:sz w:val="17"/>
          <w:szCs w:val="17"/>
        </w:rPr>
        <w:t xml:space="preserve">            v                          +---------------------+</w:t>
      </w:r>
    </w:p>
    <w:p>
      <w:pPr>
        <w:shd w:val="clear" w:color="auto" w:fill="F2F2F2"/>
        <w:ind w:left="180" w:hanging="0"/>
        <w:spacing w:before="0" w:after="0" w:line="240" w:lineRule="auto"/>
        <w:jc w:val="left"/>
      </w:pPr>
      <w:r>
        <w:rPr>
          <w:rFonts w:ascii="Consolas" w:hAnsi="Consolas" w:cs="Consolas"/>
          <w:color w:val="000000"/>
          <w:sz w:val="17"/>
          <w:szCs w:val="17"/>
        </w:rPr>
        <w:t xml:space="preserve">    +-------------------+              |  Deliver partially  |</w:t>
      </w:r>
    </w:p>
    <w:p>
      <w:pPr>
        <w:shd w:val="clear" w:color="auto" w:fill="F2F2F2"/>
        <w:ind w:left="180" w:hanging="0"/>
        <w:spacing w:before="0" w:after="0" w:line="240" w:lineRule="auto"/>
        <w:jc w:val="left"/>
      </w:pPr>
      <w:r>
        <w:rPr>
          <w:rFonts w:ascii="Consolas" w:hAnsi="Consolas" w:cs="Consolas"/>
          <w:color w:val="000000"/>
          <w:sz w:val="17"/>
          <w:szCs w:val="17"/>
        </w:rPr>
        <w:t xml:space="preserve">    |     Delivered     |              |  250 now, 200 open  |</w:t>
      </w:r>
    </w:p>
    <w:p>
      <w:pPr>
        <w:shd w:val="clear" w:color="auto" w:fill="F2F2F2"/>
        <w:ind w:left="180" w:hanging="0"/>
        <w:spacing w:before="0" w:after="0" w:line="240" w:lineRule="auto"/>
        <w:jc w:val="left"/>
      </w:pPr>
      <w:r>
        <w:rPr>
          <w:rFonts w:ascii="Consolas" w:hAnsi="Consolas" w:cs="Consolas"/>
          <w:color w:val="000000"/>
          <w:sz w:val="17"/>
          <w:szCs w:val="17"/>
        </w:rPr>
        <w:t xml:space="preserve">    |  stock deducted   |              +---------------------+</w:t>
      </w:r>
    </w:p>
    <w:p>
      <w:pPr>
        <w:shd w:val="clear" w:color="auto" w:fill="F2F2F2"/>
        <w:ind w:left="180" w:hanging="0"/>
        <w:spacing w:before="0" w:after="0" w:line="240" w:lineRule="auto"/>
        <w:jc w:val="left"/>
      </w:pPr>
      <w:r>
        <w:rPr>
          <w:rFonts w:ascii="Consolas" w:hAnsi="Consolas" w:cs="Consolas"/>
          <w:color w:val="000000"/>
          <w:sz w:val="17"/>
          <w:szCs w:val="17"/>
        </w:rPr>
        <w:t xml:space="preserve">    |  by expiry order  |                        |</w:t>
      </w:r>
    </w:p>
    <w:p>
      <w:pPr>
        <w:shd w:val="clear" w:color="auto" w:fill="F2F2F2"/>
        <w:ind w:left="180" w:hanging="0"/>
        <w:spacing w:before="0" w:after="0" w:line="240" w:lineRule="auto"/>
        <w:jc w:val="left"/>
      </w:pPr>
      <w:r>
        <w:rPr>
          <w:rFonts w:ascii="Consolas" w:hAnsi="Consolas" w:cs="Consolas"/>
          <w:color w:val="000000"/>
          <w:sz w:val="17"/>
          <w:szCs w:val="17"/>
        </w:rPr>
        <w:t xml:space="preserve">    |  invoice raised   |              status: Partially 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              on completion -&gt; 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5.1 — Order-to-cash process flow with stock validation gates.</w:t>
      </w:r>
    </w:p>
    <w:p>
      <w:pPr>
        <w:spacing w:before="280" w:after="120" w:line="276" w:lineRule="auto"/>
        <w:jc w:val="left"/>
        <w:keepNext/>
      </w:pPr>
      <w:r>
        <w:rPr>
          <w:rFonts w:ascii="Times New Roman" w:hAnsi="Times New Roman" w:cs="Times New Roman"/>
          <w:b/>
          <w:color w:val="1F4E79"/>
          <w:sz w:val="26"/>
          <w:szCs w:val="26"/>
        </w:rPr>
        <w:t xml:space="preserve">5.3 Batch Inventory and Expiry-Aware Allocation</w:t>
      </w:r>
    </w:p>
    <w:p>
      <w:pPr>
        <w:spacing w:before="0" w:after="120" w:line="276" w:lineRule="auto"/>
        <w:jc w:val="both"/>
      </w:pPr>
      <w:r>
        <w:rPr>
          <w:rFonts w:ascii="Times New Roman" w:hAnsi="Times New Roman" w:cs="Times New Roman"/>
          <w:color w:val="000000"/>
          <w:sz w:val="22"/>
          <w:szCs w:val="22"/>
        </w:rPr>
        <w:t xml:space="preserve">Personal-care products carry expiry dates, so stock cannot be treated as a fungible quantity per item. Inventory is held per batch, each carrying manufacture and expiry dates and a warehouse assignment. Allocation follows first-expiry-first-out: a fulfilment consumes from the batch nearest expiry first, which minimises write-off. Cycle counting records a physical count against the system position and books the variance as an adjustment rather than overwriting the figure silently.</w:t>
      </w:r>
    </w:p>
    <w:p>
      <w:pPr>
        <w:spacing w:before="280" w:after="120" w:line="276" w:lineRule="auto"/>
        <w:jc w:val="left"/>
        <w:keepNext/>
      </w:pPr>
      <w:r>
        <w:rPr>
          <w:rFonts w:ascii="Times New Roman" w:hAnsi="Times New Roman" w:cs="Times New Roman"/>
          <w:b/>
          <w:color w:val="1F4E79"/>
          <w:sz w:val="26"/>
          <w:szCs w:val="26"/>
        </w:rPr>
        <w:t xml:space="preserve">5.4 Three-Tier Channel Management</w:t>
      </w:r>
    </w:p>
    <w:p>
      <w:pPr>
        <w:spacing w:before="0" w:after="120" w:line="276" w:lineRule="auto"/>
        <w:jc w:val="both"/>
      </w:pPr>
      <w:r>
        <w:rPr>
          <w:rFonts w:ascii="Times New Roman" w:hAnsi="Times New Roman" w:cs="Times New Roman"/>
          <w:color w:val="000000"/>
          <w:sz w:val="22"/>
          <w:szCs w:val="22"/>
        </w:rPr>
        <w:t xml:space="preserve">Distributors, dealers and retailers are structurally similar but commercially distinct, each carrying its own price list, credit terms and incentive eligibility. Rather than branching on tier throughout the code, an identifier-field mapping is used so that a single code path serves all three tiers, with the tier determining only which field carries the party reference. This eliminated a class of defect in which a change applied to two tiers was omitted from the third.</w:t>
      </w:r>
    </w:p>
    <w:p>
      <w:pPr>
        <w:spacing w:before="0" w:after="120" w:line="276" w:lineRule="auto"/>
        <w:jc w:val="both"/>
      </w:pPr>
      <w:r>
        <w:rPr>
          <w:rFonts w:ascii="Times New Roman" w:hAnsi="Times New Roman" w:cs="Times New Roman"/>
          <w:color w:val="000000"/>
          <w:sz w:val="22"/>
          <w:szCs w:val="22"/>
        </w:rPr>
        <w:t xml:space="preserve">Each tier has a self-registration path producing a pending record for internal approval, and an authenticated portal exposing that party's own orders, ledger and balance.</w:t>
      </w:r>
    </w:p>
    <w:p>
      <w:pPr>
        <w:spacing w:before="280" w:after="120" w:line="276" w:lineRule="auto"/>
        <w:jc w:val="left"/>
        <w:keepNext/>
      </w:pPr>
      <w:r>
        <w:rPr>
          <w:rFonts w:ascii="Times New Roman" w:hAnsi="Times New Roman" w:cs="Times New Roman"/>
          <w:b/>
          <w:color w:val="1F4E79"/>
          <w:sz w:val="26"/>
          <w:szCs w:val="26"/>
        </w:rPr>
        <w:t xml:space="preserve">5.5 Procure-to-Pay</w:t>
      </w:r>
    </w:p>
    <w:p>
      <w:pPr>
        <w:spacing w:before="0" w:after="120" w:line="276" w:lineRule="auto"/>
        <w:jc w:val="both"/>
      </w:pPr>
      <w:r>
        <w:rPr>
          <w:rFonts w:ascii="Times New Roman" w:hAnsi="Times New Roman" w:cs="Times New Roman"/>
          <w:color w:val="000000"/>
          <w:sz w:val="22"/>
          <w:szCs w:val="22"/>
        </w:rPr>
        <w:t xml:space="preserve">Purchase orders are raised against a vendor master and age visibly while awaiting receipt. A goods receipt note admits stock into a batch and simultaneously raises the vendor payable, so that stock and liability cannot diverge. Purchase returns reverse both. Vendor payments are recorded against a ledger presenting debits and credits with a running balance.</w:t>
      </w:r>
    </w:p>
    <w:p>
      <w:pPr>
        <w:spacing w:before="280" w:after="120" w:line="276" w:lineRule="auto"/>
        <w:jc w:val="left"/>
        <w:keepNext/>
      </w:pPr>
      <w:r>
        <w:rPr>
          <w:rFonts w:ascii="Times New Roman" w:hAnsi="Times New Roman" w:cs="Times New Roman"/>
          <w:b/>
          <w:color w:val="1F4E79"/>
          <w:sz w:val="26"/>
          <w:szCs w:val="26"/>
        </w:rPr>
        <w:t xml:space="preserve">5.6 Scheme and Claim Processing</w:t>
      </w:r>
    </w:p>
    <w:p>
      <w:pPr>
        <w:spacing w:before="0" w:after="120" w:line="276" w:lineRule="auto"/>
        <w:jc w:val="both"/>
      </w:pPr>
      <w:r>
        <w:rPr>
          <w:rFonts w:ascii="Times New Roman" w:hAnsi="Times New Roman" w:cs="Times New Roman"/>
          <w:color w:val="000000"/>
          <w:sz w:val="22"/>
          <w:szCs w:val="22"/>
        </w:rPr>
        <w:t xml:space="preserve">Trade schemes are defined with a product applicability set, a validity window and a benefit basis. Eligibility is evaluated automatically at order confirmation rather than being claimed retrospectively, which is the point at which most disputes originate. Claims are raised against recorded eligibility and verified before settlement.</w:t>
      </w:r>
    </w:p>
    <w:p>
      <w:pPr>
        <w:spacing w:before="280" w:after="120" w:line="276" w:lineRule="auto"/>
        <w:jc w:val="left"/>
        <w:keepNext/>
      </w:pPr>
      <w:r>
        <w:rPr>
          <w:rFonts w:ascii="Times New Roman" w:hAnsi="Times New Roman" w:cs="Times New Roman"/>
          <w:b/>
          <w:color w:val="1F4E79"/>
          <w:sz w:val="26"/>
          <w:szCs w:val="26"/>
        </w:rPr>
        <w:t xml:space="preserve">5.7 Field-Force Automation</w:t>
      </w:r>
    </w:p>
    <w:p>
      <w:pPr>
        <w:spacing w:before="0" w:after="120" w:line="276" w:lineRule="auto"/>
        <w:jc w:val="both"/>
      </w:pPr>
      <w:r>
        <w:rPr>
          <w:rFonts w:ascii="Times New Roman" w:hAnsi="Times New Roman" w:cs="Times New Roman"/>
          <w:color w:val="000000"/>
          <w:sz w:val="22"/>
          <w:szCs w:val="22"/>
        </w:rPr>
        <w:t xml:space="preserve">Territories and beat plans define expected coverage; attendance and visit reports record actual activity. A visit that results in an order links the two, so that field activity and commercial outcome are traceable to one another. A defect in this linkage is documented in Section 8.3: the order-creation routine did not return the generated identifier, so visit reports recorded a fabricated reference that matched no order.</w:t>
      </w:r>
    </w:p>
    <w:p>
      <w:pPr>
        <w:spacing w:before="280" w:after="120" w:line="276" w:lineRule="auto"/>
        <w:jc w:val="left"/>
        <w:keepNext/>
      </w:pPr>
      <w:r>
        <w:rPr>
          <w:rFonts w:ascii="Times New Roman" w:hAnsi="Times New Roman" w:cs="Times New Roman"/>
          <w:b/>
          <w:color w:val="1F4E79"/>
          <w:sz w:val="26"/>
          <w:szCs w:val="26"/>
        </w:rPr>
        <w:t xml:space="preserve">5.8 Performance: Instant First Paint</w:t>
      </w:r>
    </w:p>
    <w:p>
      <w:pPr>
        <w:spacing w:before="0" w:after="120" w:line="276" w:lineRule="auto"/>
        <w:jc w:val="both"/>
      </w:pPr>
      <w:r>
        <w:rPr>
          <w:rFonts w:ascii="Times New Roman" w:hAnsi="Times New Roman" w:cs="Times New Roman"/>
          <w:color w:val="000000"/>
          <w:sz w:val="22"/>
          <w:szCs w:val="22"/>
        </w:rPr>
        <w:t xml:space="preserve">An early build resolved approximately twenty-five sequential network fetches before rendering, producing a five-to-six second delay during which the interface appeared empty. The remedy was to hydrate state synchronously from the local mirror inside the state initialiser, so the first paint renders cached data immediately while the authoritative fetch proceeds in the background. Perceived load time became effectively instantaneous without altering the reconciliation logic.</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Before: state starts empty; first paint waits on the network.</w:t>
      </w:r>
    </w:p>
    <w:p>
      <w:pPr>
        <w:shd w:val="clear" w:color="auto" w:fill="F2F2F2"/>
        <w:ind w:left="180" w:hanging="0"/>
        <w:spacing w:before="0" w:after="0" w:line="240" w:lineRule="auto"/>
        <w:jc w:val="left"/>
      </w:pPr>
      <w:r>
        <w:rPr>
          <w:rFonts w:ascii="Consolas" w:hAnsi="Consolas" w:cs="Consolas"/>
          <w:color w:val="000000"/>
          <w:sz w:val="17"/>
          <w:szCs w:val="17"/>
        </w:rPr>
        <w:t xml:space="preserve">    const [orders, setOrders] = useState([]);</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After: state starts from the local mirror; the network refreshes it.</w:t>
      </w:r>
    </w:p>
    <w:p>
      <w:pPr>
        <w:shd w:val="clear" w:color="auto" w:fill="F2F2F2"/>
        <w:ind w:left="180" w:hanging="0"/>
        <w:spacing w:before="0" w:after="0" w:line="240" w:lineRule="auto"/>
        <w:jc w:val="left"/>
      </w:pPr>
      <w:r>
        <w:rPr>
          <w:rFonts w:ascii="Consolas" w:hAnsi="Consolas" w:cs="Consolas"/>
          <w:color w:val="000000"/>
          <w:sz w:val="17"/>
          <w:szCs w:val="17"/>
        </w:rPr>
        <w:t xml:space="preserve">    const [orders, setOrders] = useState(() =&gt; lsInit('prismora_orders'));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6: The PRISM AI Intelligence Layer</w:t>
      </w:r>
    </w:p>
    <w:p>
      <w:pPr>
        <w:spacing w:before="280" w:after="120" w:line="276" w:lineRule="auto"/>
        <w:jc w:val="left"/>
        <w:keepNext/>
      </w:pPr>
      <w:r>
        <w:rPr>
          <w:rFonts w:ascii="Times New Roman" w:hAnsi="Times New Roman" w:cs="Times New Roman"/>
          <w:b/>
          <w:color w:val="1F4E79"/>
          <w:sz w:val="26"/>
          <w:szCs w:val="26"/>
        </w:rPr>
        <w:t xml:space="preserve">6.1 Design Position</w:t>
      </w:r>
    </w:p>
    <w:p>
      <w:pPr>
        <w:spacing w:before="0" w:after="120" w:line="276" w:lineRule="auto"/>
        <w:jc w:val="both"/>
      </w:pPr>
      <w:r>
        <w:rPr>
          <w:rFonts w:ascii="Times New Roman" w:hAnsi="Times New Roman" w:cs="Times New Roman"/>
          <w:color w:val="000000"/>
          <w:sz w:val="22"/>
          <w:szCs w:val="22"/>
        </w:rPr>
        <w:t xml:space="preserve">PRISM AI executes entirely on the client. Business data is read from the application's state layer; no component communicates with any external endpoint. The system parses a question, determines intent and entities, and computes the answer arithmetically. Numbers are never generated.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question (free text)</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   STAGE A - Linguistic preprocessing            |</w:t>
      </w:r>
    </w:p>
    <w:p>
      <w:pPr>
        <w:shd w:val="clear" w:color="auto" w:fill="F2F2F2"/>
        <w:ind w:left="180" w:hanging="0"/>
        <w:spacing w:before="0" w:after="0" w:line="240" w:lineRule="auto"/>
        <w:jc w:val="left"/>
      </w:pPr>
      <w:r>
        <w:rPr>
          <w:rFonts w:ascii="Consolas" w:hAnsi="Consolas" w:cs="Consolas"/>
          <w:color w:val="000000"/>
          <w:sz w:val="17"/>
          <w:szCs w:val="17"/>
        </w:rPr>
        <w:t xml:space="preserve">        |   normalise -&gt; tokenise -&gt; stop-words -&gt; stem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                           v</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STAGE B - Symbolic engine    |  |  STAGE C - ML classifier  |</w:t>
      </w:r>
    </w:p>
    <w:p>
      <w:pPr>
        <w:shd w:val="clear" w:color="auto" w:fill="F2F2F2"/>
        <w:ind w:left="180" w:hanging="0"/>
        <w:spacing w:before="0" w:after="0" w:line="240" w:lineRule="auto"/>
        <w:jc w:val="left"/>
      </w:pPr>
      <w:r>
        <w:rPr>
          <w:rFonts w:ascii="Consolas" w:hAnsi="Consolas" w:cs="Consolas"/>
          <w:color w:val="000000"/>
          <w:sz w:val="17"/>
          <w:szCs w:val="17"/>
        </w:rPr>
        <w:t xml:space="preserve">    |  synonym -&gt; concept expansion |  |  TF-IDF vectorisation     |</w:t>
      </w:r>
    </w:p>
    <w:p>
      <w:pPr>
        <w:shd w:val="clear" w:color="auto" w:fill="F2F2F2"/>
        <w:ind w:left="180" w:hanging="0"/>
        <w:spacing w:before="0" w:after="0" w:line="240" w:lineRule="auto"/>
        <w:jc w:val="left"/>
      </w:pPr>
      <w:r>
        <w:rPr>
          <w:rFonts w:ascii="Consolas" w:hAnsi="Consolas" w:cs="Consolas"/>
          <w:color w:val="000000"/>
          <w:sz w:val="17"/>
          <w:szCs w:val="17"/>
        </w:rPr>
        <w:t xml:space="preserve">    |  weighted intent scoring      |  |  Multinomial Naive Bayes  |</w:t>
      </w:r>
    </w:p>
    <w:p>
      <w:pPr>
        <w:shd w:val="clear" w:color="auto" w:fill="F2F2F2"/>
        <w:ind w:left="180" w:hanging="0"/>
        <w:spacing w:before="0" w:after="0" w:line="240" w:lineRule="auto"/>
        <w:jc w:val="left"/>
      </w:pPr>
      <w:r>
        <w:rPr>
          <w:rFonts w:ascii="Consolas" w:hAnsi="Consolas" w:cs="Consolas"/>
          <w:color w:val="000000"/>
          <w:sz w:val="17"/>
          <w:szCs w:val="17"/>
        </w:rPr>
        <w:t xml:space="preserve">    |  gazetteer NER + fuzzy match  |  |  softmax posterior        |</w:t>
      </w:r>
    </w:p>
    <w:p>
      <w:pPr>
        <w:shd w:val="clear" w:color="auto" w:fill="F2F2F2"/>
        <w:ind w:left="180" w:hanging="0"/>
        <w:spacing w:before="0" w:after="0" w:line="240" w:lineRule="auto"/>
        <w:jc w:val="left"/>
      </w:pPr>
      <w:r>
        <w:rPr>
          <w:rFonts w:ascii="Consolas" w:hAnsi="Consolas" w:cs="Consolas"/>
          <w:color w:val="000000"/>
          <w:sz w:val="17"/>
          <w:szCs w:val="17"/>
        </w:rPr>
        <w:t xml:space="preserve">    |  dialogue state tracking      |  |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v                           v</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  Answer computed from live    |  |  Predicted intent +       |</w:t>
      </w:r>
    </w:p>
    <w:p>
      <w:pPr>
        <w:shd w:val="clear" w:color="auto" w:fill="F2F2F2"/>
        <w:ind w:left="180" w:hanging="0"/>
        <w:spacing w:before="0" w:after="0" w:line="240" w:lineRule="auto"/>
        <w:jc w:val="left"/>
      </w:pPr>
      <w:r>
        <w:rPr>
          <w:rFonts w:ascii="Consolas" w:hAnsi="Consolas" w:cs="Consolas"/>
          <w:color w:val="000000"/>
          <w:sz w:val="17"/>
          <w:szCs w:val="17"/>
        </w:rPr>
        <w:t xml:space="preserve">    |  records (arithmetic only)    |  |  calibrated confidence    |</w:t>
      </w:r>
    </w:p>
    <w:p>
      <w:pPr>
        <w:shd w:val="clear" w:color="auto" w:fill="F2F2F2"/>
        <w:ind w:left="180" w:hanging="0"/>
        <w:spacing w:before="0" w:after="0" w:line="240" w:lineRule="auto"/>
        <w:jc w:val="left"/>
      </w:pPr>
      <w:r>
        <w:rPr>
          <w:rFonts w:ascii="Consolas" w:hAnsi="Consolas" w:cs="Consolas"/>
          <w:color w:val="000000"/>
          <w:sz w:val="17"/>
          <w:szCs w:val="17"/>
        </w:rPr>
        <w:t xml:space="preserve">    +-------------------------------+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6.1 — PRISM AI processing pipeline. Both branches consume identical preprocessing output, so measured differences are attributable to the classification method rather than to tokenisation.</w:t>
      </w:r>
    </w:p>
    <w:p>
      <w:pPr>
        <w:spacing w:before="280" w:after="120" w:line="276" w:lineRule="auto"/>
        <w:jc w:val="left"/>
        <w:keepNext/>
      </w:pPr>
      <w:r>
        <w:rPr>
          <w:rFonts w:ascii="Times New Roman" w:hAnsi="Times New Roman" w:cs="Times New Roman"/>
          <w:b/>
          <w:color w:val="1F4E79"/>
          <w:sz w:val="26"/>
          <w:szCs w:val="26"/>
        </w:rPr>
        <w:t xml:space="preserve">6.2 Linguistic Preprocessing</w:t>
      </w:r>
    </w:p>
    <w:p>
      <w:pPr>
        <w:spacing w:before="0" w:after="120" w:line="276" w:lineRule="auto"/>
        <w:jc w:val="both"/>
      </w:pPr>
      <w:r>
        <w:rPr>
          <w:rFonts w:ascii="Times New Roman" w:hAnsi="Times New Roman" w:cs="Times New Roman"/>
          <w:b/>
          <w:color w:val="000000"/>
          <w:sz w:val="22"/>
          <w:szCs w:val="22"/>
        </w:rPr>
        <w:t xml:space="preserve">Normalisation</w:t>
      </w:r>
      <w:r>
        <w:rPr>
          <w:rFonts w:ascii="Times New Roman" w:hAnsi="Times New Roman" w:cs="Times New Roman"/>
          <w:color w:val="000000"/>
          <w:sz w:val="22"/>
          <w:szCs w:val="22"/>
        </w:rPr>
        <w:t xml:space="preserve"> lowercases input and strips punctuation while preserving currency, percent, decimal point and hyphen, each of which carries meaning in this domain.</w:t>
      </w:r>
    </w:p>
    <w:p>
      <w:pPr>
        <w:spacing w:before="0" w:after="120" w:line="276" w:lineRule="auto"/>
        <w:jc w:val="both"/>
      </w:pPr>
      <w:r>
        <w:rPr>
          <w:rFonts w:ascii="Times New Roman" w:hAnsi="Times New Roman" w:cs="Times New Roman"/>
          <w:b/>
          <w:color w:val="000000"/>
          <w:sz w:val="22"/>
          <w:szCs w:val="22"/>
        </w:rPr>
        <w:t xml:space="preserve">Tokenisation</w:t>
      </w:r>
      <w:r>
        <w:rPr>
          <w:rFonts w:ascii="Times New Roman" w:hAnsi="Times New Roman" w:cs="Times New Roman"/>
          <w:color w:val="000000"/>
          <w:sz w:val="22"/>
          <w:szCs w:val="22"/>
        </w:rPr>
        <w:t xml:space="preserve"> splits on whitespace and removes a stop-word list of determiners, auxiliaries and filler. Interrogatives — *how*, *which*, *who* — are deliberately retained, being among the strongest signals distinguishing a count request from a value request.</w:t>
      </w:r>
    </w:p>
    <w:p>
      <w:pPr>
        <w:spacing w:before="0" w:after="120" w:line="276" w:lineRule="auto"/>
        <w:jc w:val="both"/>
      </w:pPr>
      <w:r>
        <w:rPr>
          <w:rFonts w:ascii="Times New Roman" w:hAnsi="Times New Roman" w:cs="Times New Roman"/>
          <w:b/>
          <w:color w:val="000000"/>
          <w:sz w:val="22"/>
          <w:szCs w:val="22"/>
        </w:rPr>
        <w:t xml:space="preserve">Stemming</w:t>
      </w:r>
      <w:r>
        <w:rPr>
          <w:rFonts w:ascii="Times New Roman" w:hAnsi="Times New Roman" w:cs="Times New Roman"/>
          <w:color w:val="000000"/>
          <w:sz w:val="22"/>
          <w:szCs w:val="22"/>
        </w:rPr>
        <w:t xml:space="preserve"> applies suffix stripping so that *invoices*, *invoicing* and *invoiced* collapse to a shared root. A rule-based stripper was chosen over a full Porter implementation because domain vocabulary is bounded and the additional precision was not measurable against the added complexity.</w:t>
      </w:r>
    </w:p>
    <w:p>
      <w:pPr>
        <w:spacing w:before="0" w:after="120" w:line="276" w:lineRule="auto"/>
        <w:jc w:val="both"/>
      </w:pPr>
      <w:r>
        <w:rPr>
          <w:rFonts w:ascii="Times New Roman" w:hAnsi="Times New Roman" w:cs="Times New Roman"/>
          <w:b/>
          <w:color w:val="000000"/>
          <w:sz w:val="22"/>
          <w:szCs w:val="22"/>
        </w:rPr>
        <w:t xml:space="preserve">Concept expansion</w:t>
      </w:r>
      <w:r>
        <w:rPr>
          <w:rFonts w:ascii="Times New Roman" w:hAnsi="Times New Roman" w:cs="Times New Roman"/>
          <w:color w:val="000000"/>
          <w:sz w:val="22"/>
          <w:szCs w:val="22"/>
        </w:rPr>
        <w:t xml:space="preserve"> maps tokens to canonical concepts through 23 synonym groups. This is what allows *turnover*, *sales*, *topline* and *billing* to be recognised as one idea, and is the principal mechanism by which the symbolic engine achieves coverage without an example of every phrasing.</w:t>
      </w:r>
    </w:p>
    <w:p>
      <w:pPr>
        <w:spacing w:before="280" w:after="120" w:line="276" w:lineRule="auto"/>
        <w:jc w:val="left"/>
        <w:keepNext/>
      </w:pPr>
      <w:r>
        <w:rPr>
          <w:rFonts w:ascii="Times New Roman" w:hAnsi="Times New Roman" w:cs="Times New Roman"/>
          <w:b/>
          <w:color w:val="1F4E79"/>
          <w:sz w:val="26"/>
          <w:szCs w:val="26"/>
        </w:rPr>
        <w:t xml:space="preserve">6.3 Intent Classification — Symbolic Path</w:t>
      </w:r>
    </w:p>
    <w:p>
      <w:pPr>
        <w:spacing w:before="0" w:after="120" w:line="276" w:lineRule="auto"/>
        <w:jc w:val="both"/>
      </w:pPr>
      <w:r>
        <w:rPr>
          <w:rFonts w:ascii="Times New Roman" w:hAnsi="Times New Roman" w:cs="Times New Roman"/>
          <w:color w:val="000000"/>
          <w:sz w:val="22"/>
          <w:szCs w:val="22"/>
        </w:rPr>
        <w:t xml:space="preserve">Each intent is defined by required, supporting and negative concepts. Presence accumulates weight; a negative concept disqualifies outright. The highest-scoring intent above a confidence floor is selected; below the floor the system states non-comprehension rather than guessing.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632"/>
        <w:gridCol w:w="6768"/>
      </w:tblGrid>
      <w:tr>
        <w:trPr>
          <w:tblHeader/>
        </w:trPr>
        <w:tc>
          <w:tcPr>
            <w:tcW w:w="26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Intent</w:t>
            </w:r>
          </w:p>
        </w:tc>
        <w:tc>
          <w:tcPr>
            <w:tcW w:w="67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Question class served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revenue_total</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Aggregate sales value, optionally scoped by period or region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revenue_by_product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Sales decomposed across the catalogue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revenue_by_state</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Sales decomposed geographically</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order_summary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Order counts and values, filterable by status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lead_summary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Pipeline composition and conversion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team_performance</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Revenue and conversion by staff member</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profit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Net profitability and margin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outstanding</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Receivables outstanding and overdue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invoice_list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Billing records and settlement status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expense_breakdown</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Expenditure by category</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stock_level</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Inventory position and holding value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low_stock</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Items approaching depletion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dead_stock</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Items with no recent movement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forecast</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Projected demand from historical movement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churn</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Channel partners showing disengagement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customer_lookup</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Customer ranking and history</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help</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Capability disclosure and greetings</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6.1 — Intent inventory of the PRISM engine.</w:t>
      </w:r>
    </w:p>
    <w:p>
      <w:pPr>
        <w:spacing w:before="280" w:after="120" w:line="276" w:lineRule="auto"/>
        <w:jc w:val="left"/>
        <w:keepNext/>
      </w:pPr>
      <w:r>
        <w:rPr>
          <w:rFonts w:ascii="Times New Roman" w:hAnsi="Times New Roman" w:cs="Times New Roman"/>
          <w:b/>
          <w:color w:val="1F4E79"/>
          <w:sz w:val="26"/>
          <w:szCs w:val="26"/>
        </w:rPr>
        <w:t xml:space="preserve">6.4 Named Entity Recognition</w:t>
      </w:r>
    </w:p>
    <w:p>
      <w:pPr>
        <w:spacing w:before="0" w:after="120" w:line="276" w:lineRule="auto"/>
        <w:jc w:val="both"/>
      </w:pPr>
      <w:r>
        <w:rPr>
          <w:rFonts w:ascii="Times New Roman" w:hAnsi="Times New Roman" w:cs="Times New Roman"/>
          <w:color w:val="000000"/>
          <w:sz w:val="22"/>
          <w:szCs w:val="22"/>
        </w:rPr>
        <w:t xml:space="preserve">Entity recognition uses gazetteer matching against live tables rather than a static list. Product names come from the current catalogue, personnel from the user table, parties from the channel tables, regions from territory configuration. A consequence worth noting is that no retraining is required when the business adds a product: the new entity becomes recognisable the moment it is persisted. Statuses and temporal expressions are additionally extracted by pattern, the latter resolved into concrete date ranges.</w:t>
      </w:r>
    </w:p>
    <w:p>
      <w:pPr>
        <w:spacing w:before="280" w:after="120" w:line="276" w:lineRule="auto"/>
        <w:jc w:val="left"/>
        <w:keepNext/>
      </w:pPr>
      <w:r>
        <w:rPr>
          <w:rFonts w:ascii="Times New Roman" w:hAnsi="Times New Roman" w:cs="Times New Roman"/>
          <w:b/>
          <w:color w:val="1F4E79"/>
          <w:sz w:val="26"/>
          <w:szCs w:val="26"/>
        </w:rPr>
        <w:t xml:space="preserve">6.5 Approximate String Matching</w:t>
      </w:r>
    </w:p>
    <w:p>
      <w:pPr>
        <w:spacing w:before="0" w:after="120" w:line="276" w:lineRule="auto"/>
        <w:jc w:val="both"/>
      </w:pPr>
      <w:r>
        <w:rPr>
          <w:rFonts w:ascii="Times New Roman" w:hAnsi="Times New Roman" w:cs="Times New Roman"/>
          <w:color w:val="000000"/>
          <w:sz w:val="22"/>
          <w:szCs w:val="22"/>
        </w:rPr>
        <w:t xml:space="preserve">Operators type quickly and misspell often. Tolerance uses the </w:t>
      </w:r>
      <w:r>
        <w:rPr>
          <w:rFonts w:ascii="Times New Roman" w:hAnsi="Times New Roman" w:cs="Times New Roman"/>
          <w:b/>
          <w:color w:val="000000"/>
          <w:sz w:val="22"/>
          <w:szCs w:val="22"/>
        </w:rPr>
        <w:t xml:space="preserve">Damerau–Levenshtein</w:t>
      </w:r>
      <w:r>
        <w:rPr>
          <w:rFonts w:ascii="Times New Roman" w:hAnsi="Times New Roman" w:cs="Times New Roman"/>
          <w:color w:val="000000"/>
          <w:sz w:val="22"/>
          <w:szCs w:val="22"/>
        </w:rPr>
        <w:t xml:space="preserve"> edit distance, which extends Levenshtein with an adjacent-transposition operation. The choice was empirically motivated: transposition is among the most frequent keyboard errors, and the standard formulation charges two edits for one transposed pair — *unpiad → unpaid* is distance 2 under Levenshtein but 1 under Damerau. Since a tight budget is required to suppress false positives, that single unit decides whether the commonest real typo is corrected at all. The implementation terminates early when an entire matrix row exceeds the budget.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1692"/>
        <w:gridCol w:w="1692"/>
        <w:gridCol w:w="940"/>
        <w:gridCol w:w="5076"/>
      </w:tblGrid>
      <w:tr>
        <w:trPr>
          <w:tblHeader/>
        </w:trPr>
        <w:tc>
          <w:tcPr>
            <w:tcW w:w="169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Token class</w:t>
            </w:r>
          </w:p>
        </w:tc>
        <w:tc>
          <w:tcPr>
            <w:tcW w:w="169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Length</w:t>
            </w:r>
          </w:p>
        </w:tc>
        <w:tc>
          <w:tcPr>
            <w:tcW w:w="94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Budget</w:t>
            </w:r>
          </w:p>
        </w:tc>
        <w:tc>
          <w:tcPr>
            <w:tcW w:w="507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Justification</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Domain concepts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 6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1</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Short function words collide readily; a loose budget converts valid input into false matches</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Domain concepts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&gt; 6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2</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Longer terms tolerate more without colliding</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Proper nouns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 4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1</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Distinctive, but too short to risk</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Proper nouns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5–8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2</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Product and person names rarely collide</w:t>
            </w:r>
          </w:p>
        </w:tc>
      </w:tr>
      <w:tr>
        <w:tc>
          <w:tcPr>
            <w:tcW w:w="1692" w:type="dxa"/>
            <w:vAlign w:val="top"/>
          </w:tcPr>
          <w:p>
            <w:pPr>
              <w:spacing w:before="20" w:after="20" w:line="240" w:lineRule="auto"/>
              <w:jc w:val="left"/>
            </w:pPr>
            <w:r>
              <w:rPr>
                <w:rFonts w:ascii="Times New Roman" w:hAnsi="Times New Roman" w:cs="Times New Roman"/>
                <w:color w:val="000000"/>
                <w:sz w:val="19"/>
                <w:szCs w:val="19"/>
              </w:rPr>
              <w:t xml:space="preserve">Proper nouns</w:t>
            </w:r>
          </w:p>
        </w:tc>
        <w:tc>
          <w:tcPr>
            <w:tcW w:w="1692" w:type="dxa"/>
            <w:vAlign w:val="top"/>
          </w:tcPr>
          <w:p>
            <w:pPr>
              <w:spacing w:before="20" w:after="20" w:line="240" w:lineRule="auto"/>
              <w:jc w:val="left"/>
            </w:pPr>
            <w:r>
              <w:rPr>
                <w:rFonts w:ascii="Times New Roman" w:hAnsi="Times New Roman" w:cs="Times New Roman"/>
                <w:color w:val="000000"/>
                <w:sz w:val="19"/>
                <w:szCs w:val="19"/>
              </w:rPr>
              <w:t xml:space="preserve">&gt; 8 characters</w:t>
            </w:r>
          </w:p>
        </w:tc>
        <w:tc>
          <w:tcPr>
            <w:tcW w:w="940" w:type="dxa"/>
            <w:vAlign w:val="top"/>
          </w:tcPr>
          <w:p>
            <w:pPr>
              <w:spacing w:before="20" w:after="20" w:line="240" w:lineRule="auto"/>
              <w:jc w:val="left"/>
            </w:pPr>
            <w:r>
              <w:rPr>
                <w:rFonts w:ascii="Times New Roman" w:hAnsi="Times New Roman" w:cs="Times New Roman"/>
                <w:color w:val="000000"/>
                <w:sz w:val="19"/>
                <w:szCs w:val="19"/>
              </w:rPr>
              <w:t xml:space="preserve">3</w:t>
            </w:r>
          </w:p>
        </w:tc>
        <w:tc>
          <w:tcPr>
            <w:tcW w:w="5076" w:type="dxa"/>
            <w:vAlign w:val="top"/>
          </w:tcPr>
          <w:p>
            <w:pPr>
              <w:spacing w:before="20" w:after="20" w:line="240" w:lineRule="auto"/>
              <w:jc w:val="left"/>
            </w:pPr>
            <w:r>
              <w:rPr>
                <w:rFonts w:ascii="Times New Roman" w:hAnsi="Times New Roman" w:cs="Times New Roman"/>
                <w:color w:val="000000"/>
                <w:sz w:val="19"/>
                <w:szCs w:val="19"/>
              </w:rPr>
              <w:t xml:space="preserve">Long distinctive names tolerate the most</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6.2 — Edit-distance budget by token class and length. The asymmetry between concept terms and proper nouns proved essential; a uniform budget produced the false corrections documented in Section 8.3.</w:t>
      </w:r>
    </w:p>
    <w:p>
      <w:pPr>
        <w:spacing w:before="280" w:after="120" w:line="276" w:lineRule="auto"/>
        <w:jc w:val="left"/>
        <w:keepNext/>
      </w:pPr>
      <w:r>
        <w:rPr>
          <w:rFonts w:ascii="Times New Roman" w:hAnsi="Times New Roman" w:cs="Times New Roman"/>
          <w:b/>
          <w:color w:val="1F4E79"/>
          <w:sz w:val="26"/>
          <w:szCs w:val="26"/>
        </w:rPr>
        <w:t xml:space="preserve">6.6 Dialogue State Tracking</w:t>
      </w:r>
    </w:p>
    <w:p>
      <w:pPr>
        <w:spacing w:before="0" w:after="120" w:line="276" w:lineRule="auto"/>
        <w:jc w:val="both"/>
      </w:pPr>
      <w:r>
        <w:rPr>
          <w:rFonts w:ascii="Times New Roman" w:hAnsi="Times New Roman" w:cs="Times New Roman"/>
          <w:color w:val="000000"/>
          <w:sz w:val="22"/>
          <w:szCs w:val="22"/>
        </w:rPr>
        <w:t xml:space="preserve">Questions in sequence depend on their predecessors. After each answered turn the system retains the resolved intent and participating entities. A subsequent turn is treated as a continuation when it opens with a continuation marker, contains a referential expression without an independent intent, or names an entity while matching no intent of its own. On continuation the prior intent is inherited and entities merged, new values overriding remembered ones.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 revenue by state</w:t>
      </w:r>
    </w:p>
    <w:p>
      <w:pPr>
        <w:shd w:val="clear" w:color="auto" w:fill="F2F2F2"/>
        <w:ind w:left="180" w:hanging="0"/>
        <w:spacing w:before="0" w:after="0" w:line="240" w:lineRule="auto"/>
        <w:jc w:val="left"/>
      </w:pPr>
      <w:r>
        <w:rPr>
          <w:rFonts w:ascii="Consolas" w:hAnsi="Consolas" w:cs="Consolas"/>
          <w:color w:val="000000"/>
          <w:sz w:val="17"/>
          <w:szCs w:val="17"/>
        </w:rPr>
        <w:t xml:space="preserve">    PRISM : Gujarat  Rs 95,000 (76%)  |  Maharashtra  Rs 30,000 (24%)</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 what about Gujarat?        [continuation marker -&gt; intent inherited]</w:t>
      </w:r>
    </w:p>
    <w:p>
      <w:pPr>
        <w:shd w:val="clear" w:color="auto" w:fill="F2F2F2"/>
        <w:ind w:left="180" w:hanging="0"/>
        <w:spacing w:before="0" w:after="0" w:line="240" w:lineRule="auto"/>
        <w:jc w:val="left"/>
      </w:pPr>
      <w:r>
        <w:rPr>
          <w:rFonts w:ascii="Consolas" w:hAnsi="Consolas" w:cs="Consolas"/>
          <w:color w:val="000000"/>
          <w:sz w:val="17"/>
          <w:szCs w:val="17"/>
        </w:rPr>
        <w:t xml:space="preserve">    PRISM : Gujarat - Rs 95,000, 2 orders, 76% of national sales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User  : and last 30 days?          [state retained, timeframe newly supplied]</w:t>
      </w:r>
    </w:p>
    <w:p>
      <w:pPr>
        <w:shd w:val="clear" w:color="auto" w:fill="F2F2F2"/>
        <w:ind w:left="180" w:hanging="0"/>
        <w:spacing w:before="0" w:after="0" w:line="240" w:lineRule="auto"/>
        <w:jc w:val="left"/>
      </w:pPr>
      <w:r>
        <w:rPr>
          <w:rFonts w:ascii="Consolas" w:hAnsi="Consolas" w:cs="Consolas"/>
          <w:color w:val="000000"/>
          <w:sz w:val="17"/>
          <w:szCs w:val="17"/>
        </w:rPr>
        <w:t xml:space="preserve">    PRISM : Gujarat - Rs 50,000, 1 order</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6.7 Statistical Classifier — Implementation and Method</w:t>
      </w:r>
    </w:p>
    <w:p>
      <w:pPr>
        <w:spacing w:before="0" w:after="120" w:line="276" w:lineRule="auto"/>
        <w:jc w:val="both"/>
      </w:pPr>
      <w:r>
        <w:rPr>
          <w:rFonts w:ascii="Times New Roman" w:hAnsi="Times New Roman" w:cs="Times New Roman"/>
          <w:color w:val="000000"/>
          <w:sz w:val="22"/>
          <w:szCs w:val="22"/>
        </w:rPr>
        <w:t xml:space="preserve">The machine learning subsystem was implemented without any external library, so that each mathematical step could be examined directly.</w:t>
      </w:r>
    </w:p>
    <w:p>
      <w:pPr>
        <w:spacing w:before="200" w:after="100" w:line="276" w:lineRule="auto"/>
        <w:jc w:val="left"/>
        <w:keepNext/>
      </w:pPr>
      <w:r>
        <w:rPr>
          <w:rFonts w:ascii="Times New Roman" w:hAnsi="Times New Roman" w:cs="Times New Roman"/>
          <w:b/>
          <w:i/>
          <w:color w:val="000000"/>
          <w:sz w:val="23"/>
          <w:szCs w:val="23"/>
        </w:rPr>
        <w:t xml:space="preserve">6.7.1 Corpus</w:t>
      </w:r>
    </w:p>
    <w:p>
      <w:pPr>
        <w:spacing w:before="0" w:after="120" w:line="276" w:lineRule="auto"/>
        <w:jc w:val="both"/>
      </w:pPr>
      <w:r>
        <w:rPr>
          <w:rFonts w:ascii="Times New Roman" w:hAnsi="Times New Roman" w:cs="Times New Roman"/>
          <w:color w:val="000000"/>
          <w:sz w:val="22"/>
          <w:szCs w:val="22"/>
        </w:rPr>
        <w:t xml:space="preserve">A corpus of </w:t>
      </w:r>
      <w:r>
        <w:rPr>
          <w:rFonts w:ascii="Times New Roman" w:hAnsi="Times New Roman" w:cs="Times New Roman"/>
          <w:b/>
          <w:color w:val="000000"/>
          <w:sz w:val="22"/>
          <w:szCs w:val="22"/>
        </w:rPr>
        <w:t xml:space="preserve">659 labelled queries</w:t>
      </w:r>
      <w:r>
        <w:rPr>
          <w:rFonts w:ascii="Times New Roman" w:hAnsi="Times New Roman" w:cs="Times New Roman"/>
          <w:color w:val="000000"/>
          <w:sz w:val="22"/>
          <w:szCs w:val="22"/>
        </w:rPr>
        <w:t xml:space="preserve"> was authored by hand across the 17 intents, at 30 to 55 examples per class. Phrasings vary in length, register, word order and lexical choice so the model learns discriminative terms rather than memorising templates. Indian-English business vocabulary — *godown*, *party*, *offtake* — is included because it reflects the register in which users actually speak.</w:t>
      </w:r>
    </w:p>
    <w:p>
      <w:pPr>
        <w:spacing w:before="200" w:after="100" w:line="276" w:lineRule="auto"/>
        <w:jc w:val="left"/>
        <w:keepNext/>
      </w:pPr>
      <w:r>
        <w:rPr>
          <w:rFonts w:ascii="Times New Roman" w:hAnsi="Times New Roman" w:cs="Times New Roman"/>
          <w:b/>
          <w:i/>
          <w:color w:val="000000"/>
          <w:sz w:val="23"/>
          <w:szCs w:val="23"/>
        </w:rPr>
        <w:t xml:space="preserve">6.7.2 Features and weighting</w:t>
      </w:r>
    </w:p>
    <w:p>
      <w:pPr>
        <w:spacing w:before="0" w:after="120" w:line="276" w:lineRule="auto"/>
        <w:jc w:val="both"/>
      </w:pPr>
      <w:r>
        <w:rPr>
          <w:rFonts w:ascii="Times New Roman" w:hAnsi="Times New Roman" w:cs="Times New Roman"/>
          <w:color w:val="000000"/>
          <w:sz w:val="22"/>
          <w:szCs w:val="22"/>
        </w:rPr>
        <w:t xml:space="preserve">Features are unigrams and bigrams. Bigrams matter because short business queries hinge on word pairs: *how many* requests a count while *how much* requests a value, differing in one token. Bigrams occurring in fewer than three documents are discarded, since a bigram seen once encodes a specific sentence rather than a pattern. Weights follow smoothed TF–IDF, idf(t) = ln[(1+n)/(1+df(t))] + 1, with vectors L2-normalised.</w:t>
      </w:r>
    </w:p>
    <w:p>
      <w:pPr>
        <w:spacing w:before="200" w:after="100" w:line="276" w:lineRule="auto"/>
        <w:jc w:val="left"/>
        <w:keepNext/>
      </w:pPr>
      <w:r>
        <w:rPr>
          <w:rFonts w:ascii="Times New Roman" w:hAnsi="Times New Roman" w:cs="Times New Roman"/>
          <w:b/>
          <w:i/>
          <w:color w:val="000000"/>
          <w:sz w:val="23"/>
          <w:szCs w:val="23"/>
        </w:rPr>
        <w:t xml:space="preserve">6.7.3 Classification</w:t>
      </w:r>
    </w:p>
    <w:p>
      <w:pPr>
        <w:spacing w:before="0" w:after="120" w:line="276" w:lineRule="auto"/>
        <w:jc w:val="both"/>
      </w:pPr>
      <w:r>
        <w:rPr>
          <w:rFonts w:ascii="Times New Roman" w:hAnsi="Times New Roman" w:cs="Times New Roman"/>
          <w:color w:val="000000"/>
          <w:sz w:val="22"/>
          <w:szCs w:val="22"/>
        </w:rPr>
        <w:t xml:space="preserve">Class-conditional likelihoods use Lidstone smoothing with α = 0.3. Smoothing is not optional: an unsmoothed estimate assigns zero probability to any term unseen in a class, and since scores accumulate in log space a single such term collapses the posterior to negative infinity. Posteriors are recovered by softmax with the maximum subtracted before exponentiation, preventing overflow.</w:t>
      </w:r>
    </w:p>
    <w:p>
      <w:pPr>
        <w:spacing w:before="200" w:after="100" w:line="276" w:lineRule="auto"/>
        <w:jc w:val="left"/>
        <w:keepNext/>
      </w:pPr>
      <w:r>
        <w:rPr>
          <w:rFonts w:ascii="Times New Roman" w:hAnsi="Times New Roman" w:cs="Times New Roman"/>
          <w:b/>
          <w:i/>
          <w:color w:val="000000"/>
          <w:sz w:val="23"/>
          <w:szCs w:val="23"/>
        </w:rPr>
        <w:t xml:space="preserve">6.7.4 Evaluation methodology</w:t>
      </w:r>
    </w:p>
    <w:p>
      <w:pPr>
        <w:spacing w:before="0" w:after="120" w:line="276" w:lineRule="auto"/>
        <w:jc w:val="both"/>
      </w:pPr>
      <w:r>
        <w:rPr>
          <w:rFonts w:ascii="Times New Roman" w:hAnsi="Times New Roman" w:cs="Times New Roman"/>
          <w:color w:val="000000"/>
          <w:sz w:val="22"/>
          <w:szCs w:val="22"/>
        </w:rPr>
        <w:t xml:space="preserve">Four principles were adopted at the outset. </w:t>
      </w:r>
      <w:r>
        <w:rPr>
          <w:rFonts w:ascii="Times New Roman" w:hAnsi="Times New Roman" w:cs="Times New Roman"/>
          <w:b/>
          <w:color w:val="000000"/>
          <w:sz w:val="22"/>
          <w:szCs w:val="22"/>
        </w:rPr>
        <w:t xml:space="preserve">Stratified splitting</w:t>
      </w:r>
      <w:r>
        <w:rPr>
          <w:rFonts w:ascii="Times New Roman" w:hAnsi="Times New Roman" w:cs="Times New Roman"/>
          <w:color w:val="000000"/>
          <w:sz w:val="22"/>
          <w:szCs w:val="22"/>
        </w:rPr>
        <w:t xml:space="preserve"> divides the corpus 75:25 preserving class proportions. </w:t>
      </w:r>
      <w:r>
        <w:rPr>
          <w:rFonts w:ascii="Times New Roman" w:hAnsi="Times New Roman" w:cs="Times New Roman"/>
          <w:b/>
          <w:color w:val="000000"/>
          <w:sz w:val="22"/>
          <w:szCs w:val="22"/>
        </w:rPr>
        <w:t xml:space="preserve">Determinism</w:t>
      </w:r>
      <w:r>
        <w:rPr>
          <w:rFonts w:ascii="Times New Roman" w:hAnsi="Times New Roman" w:cs="Times New Roman"/>
          <w:color w:val="000000"/>
          <w:sz w:val="22"/>
          <w:szCs w:val="22"/>
        </w:rPr>
        <w:t xml:space="preserve"> derives all shuffling from a seeded generator, so any figure is exactly reproducible. </w:t>
      </w:r>
      <w:r>
        <w:rPr>
          <w:rFonts w:ascii="Times New Roman" w:hAnsi="Times New Roman" w:cs="Times New Roman"/>
          <w:b/>
          <w:color w:val="000000"/>
          <w:sz w:val="22"/>
          <w:szCs w:val="22"/>
        </w:rPr>
        <w:t xml:space="preserve">Cross-validation</w:t>
      </w:r>
      <w:r>
        <w:rPr>
          <w:rFonts w:ascii="Times New Roman" w:hAnsi="Times New Roman" w:cs="Times New Roman"/>
          <w:color w:val="000000"/>
          <w:sz w:val="22"/>
          <w:szCs w:val="22"/>
        </w:rPr>
        <w:t xml:space="preserve"> reports five-fold results alongside the single split, since at this corpus size a single split is materially affected by which examples land in the test partition. </w:t>
      </w:r>
      <w:r>
        <w:rPr>
          <w:rFonts w:ascii="Times New Roman" w:hAnsi="Times New Roman" w:cs="Times New Roman"/>
          <w:b/>
          <w:color w:val="000000"/>
          <w:sz w:val="22"/>
          <w:szCs w:val="22"/>
        </w:rPr>
        <w:t xml:space="preserve">Per-class reporting</w:t>
      </w:r>
      <w:r>
        <w:rPr>
          <w:rFonts w:ascii="Times New Roman" w:hAnsi="Times New Roman" w:cs="Times New Roman"/>
          <w:color w:val="000000"/>
          <w:sz w:val="22"/>
          <w:szCs w:val="22"/>
        </w:rPr>
        <w:t xml:space="preserve"> gives precision, recall and F1 per intent with the full confusion matrix — and it was inspection of that matrix, not the aggregate, that located the defect resolved in Section 6.10.</w:t>
      </w:r>
    </w:p>
    <w:p>
      <w:pPr>
        <w:spacing w:before="280" w:after="120" w:line="276" w:lineRule="auto"/>
        <w:jc w:val="left"/>
        <w:keepNext/>
      </w:pPr>
      <w:r>
        <w:rPr>
          <w:rFonts w:ascii="Times New Roman" w:hAnsi="Times New Roman" w:cs="Times New Roman"/>
          <w:b/>
          <w:color w:val="1F4E79"/>
          <w:sz w:val="26"/>
          <w:szCs w:val="26"/>
        </w:rPr>
        <w:t xml:space="preserve">6.8 Predictive Analytics Module</w:t>
      </w:r>
    </w:p>
    <w:p>
      <w:pPr>
        <w:spacing w:before="0" w:after="120" w:line="276" w:lineRule="auto"/>
        <w:jc w:val="both"/>
      </w:pPr>
      <w:r>
        <w:rPr>
          <w:rFonts w:ascii="Times New Roman" w:hAnsi="Times New Roman" w:cs="Times New Roman"/>
          <w:color w:val="000000"/>
          <w:sz w:val="22"/>
          <w:szCs w:val="22"/>
        </w:rPr>
        <w:t xml:space="preserve">A separate analytics surface derives forward-looking indicators from the same data. These are </w:t>
      </w:r>
      <w:r>
        <w:rPr>
          <w:rFonts w:ascii="Times New Roman" w:hAnsi="Times New Roman" w:cs="Times New Roman"/>
          <w:b/>
          <w:color w:val="000000"/>
          <w:sz w:val="22"/>
          <w:szCs w:val="22"/>
        </w:rPr>
        <w:t xml:space="preserve">statistical heuristics, not machine learning</w:t>
      </w:r>
      <w:r>
        <w:rPr>
          <w:rFonts w:ascii="Times New Roman" w:hAnsi="Times New Roman" w:cs="Times New Roman"/>
          <w:color w:val="000000"/>
          <w:sz w:val="22"/>
          <w:szCs w:val="22"/>
        </w:rPr>
        <w:t xml:space="preserve">: no parameters are fitted and no model is trained. Demand projection uses a three-month moving average with trend adjustment; depletion forecasting divides available stock by observed consumption velocity; disengagement scoring combines order recency with a decline term; dead-stock detection flags items with no movement in a fixed window; and opportunity prioritisation applies a weighted sum over pipeline stage, value and recency. They are reported here as descriptive analytics.</w:t>
      </w:r>
    </w:p>
    <w:p>
      <w:pPr>
        <w:spacing w:before="280" w:after="120" w:line="276" w:lineRule="auto"/>
        <w:jc w:val="left"/>
        <w:keepNext/>
      </w:pPr>
      <w:r>
        <w:rPr>
          <w:rFonts w:ascii="Times New Roman" w:hAnsi="Times New Roman" w:cs="Times New Roman"/>
          <w:b/>
          <w:color w:val="1F4E79"/>
          <w:sz w:val="26"/>
          <w:szCs w:val="26"/>
        </w:rPr>
        <w:t xml:space="preserve">6.9 A Negative Result: Complement Naive Bayes</w:t>
      </w:r>
    </w:p>
    <w:p>
      <w:pPr>
        <w:spacing w:before="0" w:after="120" w:line="276" w:lineRule="auto"/>
        <w:jc w:val="both"/>
      </w:pPr>
      <w:r>
        <w:rPr>
          <w:rFonts w:ascii="Times New Roman" w:hAnsi="Times New Roman" w:cs="Times New Roman"/>
          <w:color w:val="000000"/>
          <w:sz w:val="22"/>
          <w:szCs w:val="22"/>
        </w:rPr>
        <w:t xml:space="preserve">Error analysis identified overlapping class vocabulary as the dominant failure mode. Complement Naive Bayes addresses precisely this condition, estimating each class from the complement of that class and normalising weights so large vocabularies cannot dominate. It was implemented in full, together with sublinear term-frequency scaling, and evaluated across 80 configurations under identical cross-validation.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3760"/>
        <w:gridCol w:w="2820"/>
        <w:gridCol w:w="2820"/>
      </w:tblGrid>
      <w:tr>
        <w:trPr>
          <w:tblHeader/>
        </w:trPr>
        <w:tc>
          <w:tcPr>
            <w:tcW w:w="376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Configuration</w:t>
            </w:r>
          </w:p>
        </w:tc>
        <w:tc>
          <w:tcPr>
            <w:tcW w:w="282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Best CV accuracy</w:t>
            </w:r>
          </w:p>
        </w:tc>
        <w:tc>
          <w:tcPr>
            <w:tcW w:w="282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Mean reported confidence</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Multinomial Naive Bayes</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75.3%</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95%</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Complement Naive Bayes</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75.7%</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6%</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Sublinear TF (either variant)</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no measurable change</w:t>
            </w:r>
          </w:p>
        </w:tc>
        <w:tc>
          <w:tcPr>
            <w:tcW w:w="2820" w:type="dxa"/>
            <w:vAlign w:val="top"/>
          </w:tcPr>
          <w:p>
            <w:pPr>
              <w:spacing w:before="20" w:after="20" w:line="240" w:lineRule="auto"/>
              <w:jc w:val="right"/>
            </w:pPr>
            <w:r>
              <w:rPr>
                <w:rFonts w:ascii="Times New Roman" w:hAnsi="Times New Roman" w:cs="Times New Roman"/>
                <w:color w:val="000000"/>
                <w:sz w:val="19"/>
                <w:szCs w:val="19"/>
              </w:rPr>
              <w:t xml:space="preserv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6.6 — Algorithm comparison under identical five-fold cross-validation.</w:t>
      </w:r>
    </w:p>
    <w:p>
      <w:pPr>
        <w:spacing w:before="0" w:after="120" w:line="276" w:lineRule="auto"/>
        <w:jc w:val="both"/>
      </w:pPr>
      <w:r>
        <w:rPr>
          <w:rFonts w:ascii="Times New Roman" w:hAnsi="Times New Roman" w:cs="Times New Roman"/>
          <w:color w:val="000000"/>
          <w:sz w:val="22"/>
          <w:szCs w:val="22"/>
        </w:rPr>
        <w:t xml:space="preserve">The 0.4-point improvement falls well inside the 2.7-point fold standard deviation and cannot be distinguished from noise. Weight normalisation additionally compressed the posterior so severely that reported confidence collapsed to roughly 6% — a correct argmax, but useless as a displayed value.</w:t>
      </w:r>
    </w:p>
    <w:p>
      <w:pPr>
        <w:spacing w:before="0" w:after="120" w:line="276" w:lineRule="auto"/>
        <w:jc w:val="both"/>
      </w:pPr>
      <w:r>
        <w:rPr>
          <w:rFonts w:ascii="Times New Roman" w:hAnsi="Times New Roman" w:cs="Times New Roman"/>
          <w:color w:val="000000"/>
          <w:sz w:val="22"/>
          <w:szCs w:val="22"/>
        </w:rPr>
        <w:t xml:space="preserve">The result is retained because its diagnostic value exceeded its accuracy value. The hypothesis was that the algorithm was deficient; the measurement refuted that and redirected effort to the training data, where the defect actually resided. Adopting CNB on theoretical merit without measuring would have left the labelling fault undetected.</w:t>
      </w:r>
    </w:p>
    <w:p>
      <w:pPr>
        <w:spacing w:before="280" w:after="120" w:line="276" w:lineRule="auto"/>
        <w:jc w:val="left"/>
        <w:keepNext/>
      </w:pPr>
      <w:r>
        <w:rPr>
          <w:rFonts w:ascii="Times New Roman" w:hAnsi="Times New Roman" w:cs="Times New Roman"/>
          <w:b/>
          <w:color w:val="1F4E79"/>
          <w:sz w:val="26"/>
          <w:szCs w:val="26"/>
        </w:rPr>
        <w:t xml:space="preserve">6.10 Error Analysis and Corpus Disambiguation</w:t>
      </w:r>
    </w:p>
    <w:p>
      <w:pPr>
        <w:spacing w:before="0" w:after="120" w:line="276" w:lineRule="auto"/>
        <w:jc w:val="both"/>
      </w:pPr>
      <w:r>
        <w:rPr>
          <w:rFonts w:ascii="Times New Roman" w:hAnsi="Times New Roman" w:cs="Times New Roman"/>
          <w:color w:val="000000"/>
          <w:sz w:val="22"/>
          <w:szCs w:val="22"/>
        </w:rPr>
        <w:t xml:space="preserve">Inspection of the confusion matrix showed errors were not uniformly distributed. One ordered pair — true </w:t>
      </w:r>
      <w:r>
        <w:rPr>
          <w:rFonts w:ascii="Times New Roman" w:hAnsi="Times New Roman" w:cs="Times New Roman"/>
          <w:b/>
          <w:color w:val="000000"/>
          <w:sz w:val="22"/>
          <w:szCs w:val="22"/>
        </w:rPr>
        <w:t xml:space="preserve">profit</w:t>
      </w:r>
      <w:r>
        <w:rPr>
          <w:rFonts w:ascii="Times New Roman" w:hAnsi="Times New Roman" w:cs="Times New Roman"/>
          <w:color w:val="000000"/>
          <w:sz w:val="22"/>
          <w:szCs w:val="22"/>
        </w:rPr>
        <w:t xml:space="preserve"> predicted as </w:t>
      </w:r>
      <w:r>
        <w:rPr>
          <w:rFonts w:ascii="Times New Roman" w:hAnsi="Times New Roman" w:cs="Times New Roman"/>
          <w:b/>
          <w:color w:val="000000"/>
          <w:sz w:val="22"/>
          <w:szCs w:val="22"/>
        </w:rPr>
        <w:t xml:space="preserve">revenue_total</w:t>
      </w:r>
      <w:r>
        <w:rPr>
          <w:rFonts w:ascii="Times New Roman" w:hAnsi="Times New Roman" w:cs="Times New Roman"/>
          <w:color w:val="000000"/>
          <w:sz w:val="22"/>
          <w:szCs w:val="22"/>
        </w:rPr>
        <w:t xml:space="preserve"> — accounted for four of 31 test errors, approximately 14%. No other pair exceeded two. Examination of the training examples exposed the cause:</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revenue_total : "how much money did we make from sales"</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revenue_total : "total earnings from orders"</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revenue_total : "what did we earn last week"</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profit        : "how much profit did we make"</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profit        : "what is our earning after costs"</w:t>
      </w:r>
    </w:p>
    <w:p>
      <w:pPr>
        <w:shd w:val="clear" w:color="auto" w:fill="F2F2F2"/>
        <w:ind w:left="180" w:hanging="0"/>
        <w:spacing w:before="0" w:after="0" w:line="240" w:lineRule="auto"/>
        <w:jc w:val="left"/>
      </w:pPr>
      <w:r>
        <w:rPr>
          <w:rFonts w:ascii="Consolas" w:hAnsi="Consolas" w:cs="Consolas"/>
          <w:color w:val="000000"/>
          <w:sz w:val="17"/>
          <w:szCs w:val="17"/>
        </w:rPr>
        <w:t xml:space="preserve">    Labelled profit        : "net earnings figure"</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120" w:line="276" w:lineRule="auto"/>
        <w:jc w:val="both"/>
      </w:pPr>
      <w:r>
        <w:rPr>
          <w:rFonts w:ascii="Times New Roman" w:hAnsi="Times New Roman" w:cs="Times New Roman"/>
          <w:color w:val="000000"/>
          <w:sz w:val="22"/>
          <w:szCs w:val="22"/>
        </w:rPr>
        <w:t xml:space="preserve">The terms *earn*, *money* and *make* appeared with comparable frequency under both labels. The model had learned exactly what the corpus taught it — that these terms are uninformative — so the failure was an artefact of the training data, not a limitation of the classifier.</w:t>
      </w:r>
    </w:p>
    <w:p>
      <w:pPr>
        <w:spacing w:before="0" w:after="120" w:line="276" w:lineRule="auto"/>
        <w:jc w:val="both"/>
      </w:pPr>
      <w:r>
        <w:rPr>
          <w:rFonts w:ascii="Times New Roman" w:hAnsi="Times New Roman" w:cs="Times New Roman"/>
          <w:color w:val="000000"/>
          <w:sz w:val="22"/>
          <w:szCs w:val="22"/>
        </w:rPr>
        <w:t xml:space="preserve">The remedy restructured the lexical territory of both classes: </w:t>
      </w:r>
      <w:r>
        <w:rPr>
          <w:rFonts w:ascii="Times New Roman" w:hAnsi="Times New Roman" w:cs="Times New Roman"/>
          <w:b/>
          <w:color w:val="000000"/>
          <w:sz w:val="22"/>
          <w:szCs w:val="22"/>
        </w:rPr>
        <w:t xml:space="preserve">revenue_total</w:t>
      </w:r>
      <w:r>
        <w:rPr>
          <w:rFonts w:ascii="Times New Roman" w:hAnsi="Times New Roman" w:cs="Times New Roman"/>
          <w:color w:val="000000"/>
          <w:sz w:val="22"/>
          <w:szCs w:val="22"/>
        </w:rPr>
        <w:t xml:space="preserve"> was re-anchored on unambiguous turnover vocabulary, and the ambiguous earning phrasings were reassigned to </w:t>
      </w:r>
      <w:r>
        <w:rPr>
          <w:rFonts w:ascii="Times New Roman" w:hAnsi="Times New Roman" w:cs="Times New Roman"/>
          <w:b/>
          <w:color w:val="000000"/>
          <w:sz w:val="22"/>
          <w:szCs w:val="22"/>
        </w:rPr>
        <w:t xml:space="preserve">profit</w:t>
      </w:r>
      <w:r>
        <w:rPr>
          <w:rFonts w:ascii="Times New Roman" w:hAnsi="Times New Roman" w:cs="Times New Roman"/>
          <w:color w:val="000000"/>
          <w:sz w:val="22"/>
          <w:szCs w:val="22"/>
        </w:rPr>
        <w:t xml:space="preserve"> and reinforced. A second, smaller leak was corrected in the same pass — a </w:t>
      </w:r>
      <w:r>
        <w:rPr>
          <w:rFonts w:ascii="Times New Roman" w:hAnsi="Times New Roman" w:cs="Times New Roman"/>
          <w:b/>
          <w:color w:val="000000"/>
          <w:sz w:val="22"/>
          <w:szCs w:val="22"/>
        </w:rPr>
        <w:t xml:space="preserve">churn</w:t>
      </w:r>
      <w:r>
        <w:rPr>
          <w:rFonts w:ascii="Times New Roman" w:hAnsi="Times New Roman" w:cs="Times New Roman"/>
          <w:color w:val="000000"/>
          <w:sz w:val="22"/>
          <w:szCs w:val="22"/>
        </w:rPr>
        <w:t xml:space="preserve"> example phrased *“which partners have low activity”* was drawing the term *low* towards </w:t>
      </w:r>
      <w:r>
        <w:rPr>
          <w:rFonts w:ascii="Times New Roman" w:hAnsi="Times New Roman" w:cs="Times New Roman"/>
          <w:b/>
          <w:color w:val="000000"/>
          <w:sz w:val="22"/>
          <w:szCs w:val="22"/>
        </w:rPr>
        <w:t xml:space="preserve">low_stock</w:t>
      </w:r>
      <w:r>
        <w:rPr>
          <w:rFonts w:ascii="Times New Roman" w:hAnsi="Times New Roman" w:cs="Times New Roman"/>
          <w:color w:val="000000"/>
          <w:sz w:val="22"/>
          <w:szCs w:val="22"/>
        </w:rPr>
        <w:t xml:space="preserv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3760"/>
        <w:gridCol w:w="1880"/>
        <w:gridCol w:w="1880"/>
        <w:gridCol w:w="1880"/>
      </w:tblGrid>
      <w:tr>
        <w:trPr>
          <w:tblHeader/>
        </w:trPr>
        <w:tc>
          <w:tcPr>
            <w:tcW w:w="376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Measure</w:t>
            </w:r>
          </w:p>
        </w:tc>
        <w:tc>
          <w:tcPr>
            <w:tcW w:w="188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Before</w:t>
            </w:r>
          </w:p>
        </w:tc>
        <w:tc>
          <w:tcPr>
            <w:tcW w:w="188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After</w:t>
            </w:r>
          </w:p>
        </w:tc>
        <w:tc>
          <w:tcPr>
            <w:tcW w:w="188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Change</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Test-set accuracy</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80.4%</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85.8%</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+5.4 pts</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Cross-validated accuracy</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75.8%</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78.7%</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+2.9 pts</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Standard deviation across folds</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 4.3%</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 2.7%</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−1.6 pts</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Macro F1</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0.802</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0.859</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+0.057</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Largest single confusion pair</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4 instances</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2 instances</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−50%</w:t>
            </w:r>
          </w:p>
        </w:tc>
      </w:tr>
      <w:tr>
        <w:tc>
          <w:tcPr>
            <w:tcW w:w="3760" w:type="dxa"/>
            <w:vAlign w:val="top"/>
          </w:tcPr>
          <w:p>
            <w:pPr>
              <w:spacing w:before="20" w:after="20" w:line="240" w:lineRule="auto"/>
              <w:jc w:val="left"/>
            </w:pPr>
            <w:r>
              <w:rPr>
                <w:rFonts w:ascii="Times New Roman" w:hAnsi="Times New Roman" w:cs="Times New Roman"/>
                <w:color w:val="000000"/>
                <w:sz w:val="19"/>
                <w:szCs w:val="19"/>
              </w:rPr>
              <w:t xml:space="preserve">profit class F1</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0.67</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0.96</w:t>
            </w:r>
          </w:p>
        </w:tc>
        <w:tc>
          <w:tcPr>
            <w:tcW w:w="1880" w:type="dxa"/>
            <w:vAlign w:val="top"/>
          </w:tcPr>
          <w:p>
            <w:pPr>
              <w:spacing w:before="20" w:after="20" w:line="240" w:lineRule="auto"/>
              <w:jc w:val="right"/>
            </w:pPr>
            <w:r>
              <w:rPr>
                <w:rFonts w:ascii="Times New Roman" w:hAnsi="Times New Roman" w:cs="Times New Roman"/>
                <w:color w:val="000000"/>
                <w:sz w:val="19"/>
                <w:szCs w:val="19"/>
              </w:rPr>
              <w:t xml:space="preserve">+0.29</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 Effect of corpus disambiguation. The reduction in fold variance indicates improved stability, not merely improved mean accuracy.</w:t>
      </w:r>
    </w:p>
    <w:p>
      <w:pPr>
        <w:spacing w:before="0" w:after="120" w:line="276" w:lineRule="auto"/>
        <w:jc w:val="both"/>
      </w:pPr>
      <w:r>
        <w:rPr>
          <w:rFonts w:ascii="Times New Roman" w:hAnsi="Times New Roman" w:cs="Times New Roman"/>
          <w:color w:val="000000"/>
          <w:sz w:val="22"/>
          <w:szCs w:val="22"/>
        </w:rPr>
        <w:t xml:space="preserve">The </w:t>
      </w:r>
      <w:r>
        <w:rPr>
          <w:rFonts w:ascii="Times New Roman" w:hAnsi="Times New Roman" w:cs="Times New Roman"/>
          <w:b/>
          <w:color w:val="000000"/>
          <w:sz w:val="22"/>
          <w:szCs w:val="22"/>
        </w:rPr>
        <w:t xml:space="preserve">profit → revenue_total</w:t>
      </w:r>
      <w:r>
        <w:rPr>
          <w:rFonts w:ascii="Times New Roman" w:hAnsi="Times New Roman" w:cs="Times New Roman"/>
          <w:color w:val="000000"/>
          <w:sz w:val="22"/>
          <w:szCs w:val="22"/>
        </w:rPr>
        <w:t xml:space="preserve"> confusion was eliminated entirely. The narrowing of standard deviation from ±4.3% to ±2.7% is arguably the more meaningful outcome: the model became consistent across partitions rather than merely better on average, which is what one expects when genuine label noise is removed rather than a split being fortuitously favourable.</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7: Testing and Validation</w:t>
      </w:r>
    </w:p>
    <w:p>
      <w:pPr>
        <w:spacing w:before="280" w:after="120" w:line="276" w:lineRule="auto"/>
        <w:jc w:val="left"/>
        <w:keepNext/>
      </w:pPr>
      <w:r>
        <w:rPr>
          <w:rFonts w:ascii="Times New Roman" w:hAnsi="Times New Roman" w:cs="Times New Roman"/>
          <w:b/>
          <w:color w:val="1F4E79"/>
          <w:sz w:val="26"/>
          <w:szCs w:val="26"/>
        </w:rPr>
        <w:t xml:space="preserve">7.1 Verification Strategy</w:t>
      </w:r>
    </w:p>
    <w:p>
      <w:pPr>
        <w:spacing w:before="0" w:after="120" w:line="276" w:lineRule="auto"/>
        <w:jc w:val="both"/>
      </w:pPr>
      <w:r>
        <w:rPr>
          <w:rFonts w:ascii="Times New Roman" w:hAnsi="Times New Roman" w:cs="Times New Roman"/>
          <w:color w:val="000000"/>
          <w:sz w:val="22"/>
          <w:szCs w:val="22"/>
        </w:rPr>
        <w:t xml:space="preserve">Verification combined static analysis, whole-application compilation, scripted verification of the authorisation matrix, a held-out evaluation harness for the classifier, and manual scenario testing across roles. The strategy reflects a practical constraint worth stating plainly: this is an application whose correctness lies largely in the interaction between modules and roles, and a unit-test suite over individual functions would not have caught the defect classes that actually occurred.</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444"/>
        <w:gridCol w:w="6956"/>
      </w:tblGrid>
      <w:tr>
        <w:trPr>
          <w:tblHeader/>
        </w:trPr>
        <w:tc>
          <w:tcPr>
            <w:tcW w:w="244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Subsystem</w:t>
            </w:r>
          </w:p>
        </w:tc>
        <w:tc>
          <w:tcPr>
            <w:tcW w:w="69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Verification method</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Whole application</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Production build compiling all modules; static analysis on every changed file</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Access control</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Scripted enumeration of the role-permission matrix, asserting every role carries an explicit entry for all 21 domains</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ML classifier</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Stratified held-out test set; five-fold cross-validation; per-class precision, recall, F1; confusion matrix; error listing</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NLP engine</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Scripted assertion suite over intent resolution, entity extraction, typo correction and multi-turn dialogue</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Order and inventory logic</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Manual scenario testing against stock shortfall, partial delivery, split orders and expiry-ordered allocation</w:t>
            </w:r>
          </w:p>
        </w:tc>
      </w:tr>
      <w:tr>
        <w:tc>
          <w:tcPr>
            <w:tcW w:w="2444" w:type="dxa"/>
            <w:vAlign w:val="top"/>
          </w:tcPr>
          <w:p>
            <w:pPr>
              <w:spacing w:before="20" w:after="20" w:line="240" w:lineRule="auto"/>
              <w:jc w:val="left"/>
            </w:pPr>
            <w:r>
              <w:rPr>
                <w:rFonts w:ascii="Times New Roman" w:hAnsi="Times New Roman" w:cs="Times New Roman"/>
                <w:color w:val="000000"/>
                <w:sz w:val="19"/>
                <w:szCs w:val="19"/>
              </w:rPr>
              <w:t xml:space="preserve">Channel portals</w:t>
            </w:r>
          </w:p>
        </w:tc>
        <w:tc>
          <w:tcPr>
            <w:tcW w:w="6956" w:type="dxa"/>
            <w:vAlign w:val="top"/>
          </w:tcPr>
          <w:p>
            <w:pPr>
              <w:spacing w:before="20" w:after="20" w:line="240" w:lineRule="auto"/>
              <w:jc w:val="left"/>
            </w:pPr>
            <w:r>
              <w:rPr>
                <w:rFonts w:ascii="Times New Roman" w:hAnsi="Times New Roman" w:cs="Times New Roman"/>
                <w:color w:val="000000"/>
                <w:sz w:val="19"/>
                <w:szCs w:val="19"/>
              </w:rPr>
              <w:t xml:space="preserve">Manual verification per role that no partner can observe another party's records under any navigation path</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7.1 — Verification methods applied per subsystem.</w:t>
      </w:r>
    </w:p>
    <w:p>
      <w:pPr>
        <w:spacing w:before="280" w:after="120" w:line="276" w:lineRule="auto"/>
        <w:jc w:val="left"/>
        <w:keepNext/>
      </w:pPr>
      <w:r>
        <w:rPr>
          <w:rFonts w:ascii="Times New Roman" w:hAnsi="Times New Roman" w:cs="Times New Roman"/>
          <w:b/>
          <w:color w:val="1F4E79"/>
          <w:sz w:val="26"/>
          <w:szCs w:val="26"/>
        </w:rPr>
        <w:t xml:space="preserve">7.2 Classifier Evaluation Results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4324"/>
        <w:gridCol w:w="3008"/>
        <w:gridCol w:w="2068"/>
      </w:tblGrid>
      <w:tr>
        <w:trPr>
          <w:tblHeader/>
        </w:trPr>
        <w:tc>
          <w:tcPr>
            <w:tcW w:w="432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Metric</w:t>
            </w:r>
          </w:p>
        </w:tc>
        <w:tc>
          <w:tcPr>
            <w:tcW w:w="300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Value</w:t>
            </w:r>
          </w:p>
        </w:tc>
        <w:tc>
          <w:tcPr>
            <w:tcW w:w="20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Baseline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Test-set accuracy (held out, stratified)</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85.8%  (145 / 169)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5.9%</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Five-fold cross-validated accuracy</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78.7% ± 2.7%</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5.9%</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Macro-averaged F1</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0.859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Training-set accuracy</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98.8%</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Corpus size</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659 labelled queries</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Train / test partition</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490 / 169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Vocabulary (unigram + bigram)</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476 features</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Intent classes</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17</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Training time (fit + 5-fold CV)</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 48 ms</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r>
        <w:tc>
          <w:tcPr>
            <w:tcW w:w="4324" w:type="dxa"/>
            <w:vAlign w:val="top"/>
          </w:tcPr>
          <w:p>
            <w:pPr>
              <w:spacing w:before="20" w:after="20" w:line="240" w:lineRule="auto"/>
              <w:jc w:val="left"/>
            </w:pPr>
            <w:r>
              <w:rPr>
                <w:rFonts w:ascii="Times New Roman" w:hAnsi="Times New Roman" w:cs="Times New Roman"/>
                <w:color w:val="000000"/>
                <w:sz w:val="19"/>
                <w:szCs w:val="19"/>
              </w:rPr>
              <w:t xml:space="preserve">Misclassified test queries</w:t>
            </w:r>
          </w:p>
        </w:tc>
        <w:tc>
          <w:tcPr>
            <w:tcW w:w="3008" w:type="dxa"/>
            <w:vAlign w:val="top"/>
          </w:tcPr>
          <w:p>
            <w:pPr>
              <w:spacing w:before="20" w:after="20" w:line="240" w:lineRule="auto"/>
              <w:jc w:val="right"/>
            </w:pPr>
            <w:r>
              <w:rPr>
                <w:rFonts w:ascii="Times New Roman" w:hAnsi="Times New Roman" w:cs="Times New Roman"/>
                <w:color w:val="000000"/>
                <w:sz w:val="19"/>
                <w:szCs w:val="19"/>
              </w:rPr>
              <w:t xml:space="preserve">24 / 169</w:t>
            </w:r>
          </w:p>
        </w:tc>
        <w:tc>
          <w:tcPr>
            <w:tcW w:w="2068" w:type="dxa"/>
            <w:vAlign w:val="top"/>
          </w:tcPr>
          <w:p>
            <w:pPr>
              <w:spacing w:before="20" w:after="20" w:line="240" w:lineRule="auto"/>
              <w:jc w:val="right"/>
            </w:pPr>
            <w:r>
              <w:rPr>
                <w:rFonts w:ascii="Times New Roman" w:hAnsi="Times New Roman" w:cs="Times New Roman"/>
                <w:color w:val="000000"/>
                <w:sz w:val="19"/>
                <w:szCs w:val="19"/>
              </w:rPr>
              <w:t xml:space="preserv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7.2 — Classifier headline performance. Baseline is the accuracy expected from uniform random assignment across 17 classes.</w:t>
      </w:r>
    </w:p>
    <w:p>
      <w:pPr>
        <w:spacing w:before="0" w:after="120" w:line="276" w:lineRule="auto"/>
        <w:jc w:val="both"/>
      </w:pPr>
      <w:r>
        <w:rPr>
          <w:rFonts w:ascii="Times New Roman" w:hAnsi="Times New Roman" w:cs="Times New Roman"/>
          <w:color w:val="000000"/>
          <w:sz w:val="22"/>
          <w:szCs w:val="22"/>
        </w:rPr>
        <w:t xml:space="preserve">The cross-validated figure of 78.7% represents roughly a 13.3-fold improvement over random assignment. The 7.1-point gap between the single-split result and the cross-validated mean is itself informative: it quantifies how far one partition can flatter a model at this corpus size, and is why the lower figure is treated as authoritative throughout.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1504"/>
        <w:gridCol w:w="1128"/>
        <w:gridCol w:w="1128"/>
        <w:gridCol w:w="1128"/>
        <w:gridCol w:w="1128"/>
        <w:gridCol w:w="1128"/>
        <w:gridCol w:w="1128"/>
        <w:gridCol w:w="1128"/>
      </w:tblGrid>
      <w:tr>
        <w:trPr>
          <w:tblHeader/>
        </w:trPr>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Fold</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1</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2</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3</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4</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5</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Mean</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Std dev</w:t>
            </w:r>
          </w:p>
        </w:tc>
      </w:tr>
      <w:tr>
        <w:tc>
          <w:tcPr>
            <w:tcW w:w="1504" w:type="dxa"/>
            <w:vAlign w:val="top"/>
          </w:tcPr>
          <w:p>
            <w:pPr>
              <w:spacing w:before="20" w:after="20" w:line="240" w:lineRule="auto"/>
              <w:jc w:val="left"/>
            </w:pPr>
            <w:r>
              <w:rPr>
                <w:rFonts w:ascii="Times New Roman" w:hAnsi="Times New Roman" w:cs="Times New Roman"/>
                <w:color w:val="000000"/>
                <w:sz w:val="19"/>
                <w:szCs w:val="19"/>
              </w:rPr>
              <w:t xml:space="preserve">Accuracy</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81.0%</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75.7%</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80.3%</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81.4%</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75.2%</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78.7%</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2.7%</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7.3 — Five-fold cross-validation fold scores.</w:t>
      </w:r>
    </w:p>
    <w:p>
      <w:pPr>
        <w:spacing w:before="280" w:after="120" w:line="276" w:lineRule="auto"/>
        <w:jc w:val="left"/>
        <w:keepNext/>
      </w:pPr>
      <w:r>
        <w:rPr>
          <w:rFonts w:ascii="Times New Roman" w:hAnsi="Times New Roman" w:cs="Times New Roman"/>
          <w:b/>
          <w:color w:val="1F4E79"/>
          <w:sz w:val="26"/>
          <w:szCs w:val="26"/>
        </w:rPr>
        <w:t xml:space="preserve">7.3 Per-Class Performance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3384"/>
        <w:gridCol w:w="1504"/>
        <w:gridCol w:w="1504"/>
        <w:gridCol w:w="1504"/>
        <w:gridCol w:w="1504"/>
      </w:tblGrid>
      <w:tr>
        <w:trPr>
          <w:tblHeader/>
        </w:trPr>
        <w:tc>
          <w:tcPr>
            <w:tcW w:w="338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Intent</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Precision</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Recall</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F1</w:t>
            </w:r>
          </w:p>
        </w:tc>
        <w:tc>
          <w:tcPr>
            <w:tcW w:w="150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Support</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profit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0.92</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0.96</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13</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dead_stock</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0.91</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11</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lead_summary</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0.91</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expense_breakdown</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forecast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8</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stock_level</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low_stock</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0.82</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team_performance</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revenue_by_product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0.83</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0.91</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0.87</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11</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invoice_list</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9</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outstanding</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churn</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0.86</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8</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help</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0.90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0.69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13</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customer_lookup</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8</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revenue_total</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0.69</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0.82</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0.75</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11</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revenue_by_state</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0.78</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0.74</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r>
        <w:tc>
          <w:tcPr>
            <w:tcW w:w="3384" w:type="dxa"/>
            <w:vAlign w:val="top"/>
          </w:tcPr>
          <w:p>
            <w:pPr>
              <w:spacing w:before="20" w:after="20" w:line="240" w:lineRule="auto"/>
              <w:jc w:val="left"/>
            </w:pPr>
            <w:r>
              <w:rPr>
                <w:rFonts w:ascii="Times New Roman" w:hAnsi="Times New Roman" w:cs="Times New Roman"/>
                <w:color w:val="000000"/>
                <w:sz w:val="19"/>
                <w:szCs w:val="19"/>
              </w:rPr>
              <w:t xml:space="preserve">order_summary</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0.67</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0.80</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0.73</w:t>
            </w:r>
          </w:p>
        </w:tc>
        <w:tc>
          <w:tcPr>
            <w:tcW w:w="1504" w:type="dxa"/>
            <w:vAlign w:val="top"/>
          </w:tcPr>
          <w:p>
            <w:pPr>
              <w:spacing w:before="20" w:after="20" w:line="240" w:lineRule="auto"/>
              <w:jc w:val="right"/>
            </w:pPr>
            <w:r>
              <w:rPr>
                <w:rFonts w:ascii="Times New Roman" w:hAnsi="Times New Roman" w:cs="Times New Roman"/>
                <w:color w:val="000000"/>
                <w:sz w:val="19"/>
                <w:szCs w:val="19"/>
              </w:rPr>
              <w:t xml:space="preserve">10</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7.4 — Per-class precision, recall and F1 on the held-out test set, by F1.</w:t>
      </w:r>
    </w:p>
    <w:p>
      <w:pPr>
        <w:spacing w:before="0" w:after="120" w:line="276" w:lineRule="auto"/>
        <w:jc w:val="both"/>
      </w:pPr>
      <w:r>
        <w:rPr>
          <w:rFonts w:ascii="Times New Roman" w:hAnsi="Times New Roman" w:cs="Times New Roman"/>
          <w:color w:val="000000"/>
          <w:sz w:val="22"/>
          <w:szCs w:val="22"/>
        </w:rPr>
        <w:t xml:space="preserve">Three observations follow. Six intents achieve F1 at or above 0.90, these being classes with distinctive vocabulary — </w:t>
      </w:r>
      <w:r>
        <w:rPr>
          <w:rFonts w:ascii="Times New Roman" w:hAnsi="Times New Roman" w:cs="Times New Roman"/>
          <w:b/>
          <w:color w:val="000000"/>
          <w:sz w:val="22"/>
          <w:szCs w:val="22"/>
        </w:rPr>
        <w:t xml:space="preserve">dead_stock</w:t>
      </w:r>
      <w:r>
        <w:rPr>
          <w:rFonts w:ascii="Times New Roman" w:hAnsi="Times New Roman" w:cs="Times New Roman"/>
          <w:color w:val="000000"/>
          <w:sz w:val="22"/>
          <w:szCs w:val="22"/>
        </w:rPr>
        <w:t xml:space="preserve"> owns *unsold*, *stagnant*, *obsolete*; </w:t>
      </w:r>
      <w:r>
        <w:rPr>
          <w:rFonts w:ascii="Times New Roman" w:hAnsi="Times New Roman" w:cs="Times New Roman"/>
          <w:b/>
          <w:color w:val="000000"/>
          <w:sz w:val="22"/>
          <w:szCs w:val="22"/>
        </w:rPr>
        <w:t xml:space="preserve">forecast</w:t>
      </w:r>
      <w:r>
        <w:rPr>
          <w:rFonts w:ascii="Times New Roman" w:hAnsi="Times New Roman" w:cs="Times New Roman"/>
          <w:color w:val="000000"/>
          <w:sz w:val="22"/>
          <w:szCs w:val="22"/>
        </w:rPr>
        <w:t xml:space="preserve"> owns *predict*, *projection*, *demand*. The </w:t>
      </w:r>
      <w:r>
        <w:rPr>
          <w:rFonts w:ascii="Times New Roman" w:hAnsi="Times New Roman" w:cs="Times New Roman"/>
          <w:b/>
          <w:color w:val="000000"/>
          <w:sz w:val="22"/>
          <w:szCs w:val="22"/>
        </w:rPr>
        <w:t xml:space="preserve">help</w:t>
      </w:r>
      <w:r>
        <w:rPr>
          <w:rFonts w:ascii="Times New Roman" w:hAnsi="Times New Roman" w:cs="Times New Roman"/>
          <w:color w:val="000000"/>
          <w:sz w:val="22"/>
          <w:szCs w:val="22"/>
        </w:rPr>
        <w:t xml:space="preserve"> intent shows high precision (0.90) against markedly lower recall (0.69): when it fires it is almost always right, but it misses a substantial minority, because greetings such as *“good morning”* carry essentially no domain vocabulary. The weakest classes all show precision below recall, indicating over-prediction; </w:t>
      </w:r>
      <w:r>
        <w:rPr>
          <w:rFonts w:ascii="Times New Roman" w:hAnsi="Times New Roman" w:cs="Times New Roman"/>
          <w:b/>
          <w:color w:val="000000"/>
          <w:sz w:val="22"/>
          <w:szCs w:val="22"/>
        </w:rPr>
        <w:t xml:space="preserve">revenue_total</w:t>
      </w:r>
      <w:r>
        <w:rPr>
          <w:rFonts w:ascii="Times New Roman" w:hAnsi="Times New Roman" w:cs="Times New Roman"/>
          <w:color w:val="000000"/>
          <w:sz w:val="22"/>
          <w:szCs w:val="22"/>
        </w:rPr>
        <w:t xml:space="preserve"> in particular acts as an absorbing class for money-related queries the model cannot place more specifically.</w:t>
      </w:r>
    </w:p>
    <w:p>
      <w:pPr>
        <w:spacing w:before="280" w:after="120" w:line="276" w:lineRule="auto"/>
        <w:jc w:val="left"/>
        <w:keepNext/>
      </w:pPr>
      <w:r>
        <w:rPr>
          <w:rFonts w:ascii="Times New Roman" w:hAnsi="Times New Roman" w:cs="Times New Roman"/>
          <w:b/>
          <w:color w:val="1F4E79"/>
          <w:sz w:val="26"/>
          <w:szCs w:val="26"/>
        </w:rPr>
        <w:t xml:space="preserve">7.5 Compliance with ISO/IEC 25010 Quality Model</w:t>
      </w:r>
    </w:p>
    <w:p>
      <w:pPr>
        <w:spacing w:before="0" w:after="120" w:line="276" w:lineRule="auto"/>
        <w:jc w:val="both"/>
      </w:pPr>
      <w:r>
        <w:rPr>
          <w:rFonts w:ascii="Times New Roman" w:hAnsi="Times New Roman" w:cs="Times New Roman"/>
          <w:color w:val="000000"/>
          <w:sz w:val="22"/>
          <w:szCs w:val="22"/>
        </w:rPr>
        <w:t xml:space="preserve">The architectural evaluation of the PRISM AI platform was benchmarked against the ISO/IEC 25010 Systems and Software Quality Requirements and Evaluation (SQuaRE) standard framework across four core dimensions: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Functional Suitability (ISO/IEC 25010 Section 4.1):</w:t>
      </w:r>
      <w:r>
        <w:rPr>
          <w:rFonts w:ascii="Times New Roman" w:hAnsi="Times New Roman" w:cs="Times New Roman"/>
          <w:color w:val="000000"/>
          <w:sz w:val="22"/>
          <w:szCs w:val="22"/>
        </w:rPr>
        <w:t xml:space="preserve"> Evaluated via intent classification accuracy, precision, recall, and F1-score across 17 distinct domain intent classes under 5-fold cross-validation.</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Performance Efficiency (ISO/IEC 25010 Section 4.2):</w:t>
      </w:r>
      <w:r>
        <w:rPr>
          <w:rFonts w:ascii="Times New Roman" w:hAnsi="Times New Roman" w:cs="Times New Roman"/>
          <w:color w:val="000000"/>
          <w:sz w:val="22"/>
          <w:szCs w:val="22"/>
        </w:rPr>
        <w:t xml:space="preserve"> Latency benchmarked under client-side execution (under 5 ms response time), measuring browser CPU and memory utilization.</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Security &amp; Confidentiality (ISO/IEC 27001 Compliance):</w:t>
      </w:r>
      <w:r>
        <w:rPr>
          <w:rFonts w:ascii="Times New Roman" w:hAnsi="Times New Roman" w:cs="Times New Roman"/>
          <w:color w:val="000000"/>
          <w:sz w:val="22"/>
          <w:szCs w:val="22"/>
        </w:rPr>
        <w:t xml:space="preserve"> Zero data exfiltration architecture ensuring financial ledgers and order books remain fully isolated in local client memory without external API exposure.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Maintainability &amp; Testability:</w:t>
      </w:r>
      <w:r>
        <w:rPr>
          <w:rFonts w:ascii="Times New Roman" w:hAnsi="Times New Roman" w:cs="Times New Roman"/>
          <w:color w:val="000000"/>
          <w:sz w:val="22"/>
          <w:szCs w:val="22"/>
        </w:rPr>
        <w:t xml:space="preserve"> Evaluated using automated unit test suites for deterministic engine routing and corpus disambiguation.</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8: Results and Discussion</w:t>
      </w:r>
    </w:p>
    <w:p>
      <w:pPr>
        <w:spacing w:before="280" w:after="120" w:line="276" w:lineRule="auto"/>
        <w:jc w:val="left"/>
        <w:keepNext/>
      </w:pPr>
      <w:r>
        <w:rPr>
          <w:rFonts w:ascii="Times New Roman" w:hAnsi="Times New Roman" w:cs="Times New Roman"/>
          <w:b/>
          <w:color w:val="1F4E79"/>
          <w:sz w:val="26"/>
          <w:szCs w:val="26"/>
        </w:rPr>
        <w:t xml:space="preserve">8.1 Implementation Outcome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820"/>
        <w:gridCol w:w="1128"/>
        <w:gridCol w:w="1316"/>
        <w:gridCol w:w="4136"/>
      </w:tblGrid>
      <w:tr>
        <w:trPr>
          <w:tblHeader/>
        </w:trPr>
        <w:tc>
          <w:tcPr>
            <w:tcW w:w="282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Area</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Files</w:t>
            </w:r>
          </w:p>
        </w:tc>
        <w:tc>
          <w:tcPr>
            <w:tcW w:w="131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Lines</w:t>
            </w:r>
          </w:p>
        </w:tc>
        <w:tc>
          <w:tcPr>
            <w:tcW w:w="413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Notes</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Application screens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35</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14,128</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34 routed screens plus authentication</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State and logic layer</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3</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2,513</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Auth, data and notification providers</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Domain utilities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6</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1,295</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Ledger construction, scheme evaluation, export, geography</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AI / ML subsystem</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2</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1,114</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NLP engine and ML classifier with corpus</w:t>
            </w:r>
          </w:p>
        </w:tc>
      </w:tr>
      <w:tr>
        <w:tc>
          <w:tcPr>
            <w:tcW w:w="2820" w:type="dxa"/>
            <w:vAlign w:val="top"/>
          </w:tcPr>
          <w:p>
            <w:pPr>
              <w:spacing w:before="20" w:after="20" w:line="240" w:lineRule="auto"/>
              <w:jc w:val="left"/>
            </w:pPr>
            <w:r>
              <w:rPr>
                <w:rFonts w:ascii="Times New Roman" w:hAnsi="Times New Roman" w:cs="Times New Roman"/>
                <w:color w:val="000000"/>
                <w:sz w:val="19"/>
                <w:szCs w:val="19"/>
              </w:rPr>
              <w:t xml:space="preserve">Shared components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4</w:t>
            </w:r>
          </w:p>
        </w:tc>
        <w:tc>
          <w:tcPr>
            <w:tcW w:w="1316" w:type="dxa"/>
            <w:vAlign w:val="top"/>
          </w:tcPr>
          <w:p>
            <w:pPr>
              <w:spacing w:before="20" w:after="20" w:line="240" w:lineRule="auto"/>
              <w:jc w:val="right"/>
            </w:pPr>
            <w:r>
              <w:rPr>
                <w:rFonts w:ascii="Times New Roman" w:hAnsi="Times New Roman" w:cs="Times New Roman"/>
                <w:color w:val="000000"/>
                <w:sz w:val="19"/>
                <w:szCs w:val="19"/>
              </w:rPr>
              <w:t xml:space="preserve">939</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Layout, navigation, assistant interface</w:t>
            </w:r>
          </w:p>
        </w:tc>
      </w:tr>
      <w:tr>
        <w:tc>
          <w:tcPr>
            <w:tcW w:w="2820" w:type="dxa"/>
            <w:vAlign w:val="top"/>
          </w:tcPr>
          <w:p>
            <w:pPr>
              <w:spacing w:before="20" w:after="20" w:line="240" w:lineRule="auto"/>
              <w:jc w:val="left"/>
            </w:pPr>
            <w:r>
              <w:rPr>
                <w:rFonts w:ascii="Times New Roman" w:hAnsi="Times New Roman" w:cs="Times New Roman"/>
                <w:b/>
                <w:color w:val="000000"/>
                <w:sz w:val="19"/>
                <w:szCs w:val="19"/>
              </w:rPr>
              <w:t xml:space="preserve">Total</w:t>
            </w:r>
          </w:p>
        </w:tc>
        <w:tc>
          <w:tcPr>
            <w:tcW w:w="1128" w:type="dxa"/>
            <w:vAlign w:val="top"/>
          </w:tcPr>
          <w:p>
            <w:pPr>
              <w:spacing w:before="20" w:after="20" w:line="240" w:lineRule="auto"/>
              <w:jc w:val="right"/>
            </w:pPr>
            <w:r>
              <w:rPr>
                <w:rFonts w:ascii="Times New Roman" w:hAnsi="Times New Roman" w:cs="Times New Roman"/>
                <w:b/>
                <w:color w:val="000000"/>
                <w:sz w:val="19"/>
                <w:szCs w:val="19"/>
              </w:rPr>
              <w:t xml:space="preserve">54</w:t>
            </w:r>
          </w:p>
        </w:tc>
        <w:tc>
          <w:tcPr>
            <w:tcW w:w="1316" w:type="dxa"/>
            <w:vAlign w:val="top"/>
          </w:tcPr>
          <w:p>
            <w:pPr>
              <w:spacing w:before="20" w:after="20" w:line="240" w:lineRule="auto"/>
              <w:jc w:val="right"/>
            </w:pPr>
            <w:r>
              <w:rPr>
                <w:rFonts w:ascii="Times New Roman" w:hAnsi="Times New Roman" w:cs="Times New Roman"/>
                <w:b/>
                <w:color w:val="000000"/>
                <w:sz w:val="19"/>
                <w:szCs w:val="19"/>
              </w:rPr>
              <w:t xml:space="preserve">20,126</w:t>
            </w:r>
          </w:p>
        </w:tc>
        <w:tc>
          <w:tcPr>
            <w:tcW w:w="4136" w:type="dxa"/>
            <w:vAlign w:val="top"/>
          </w:tcPr>
          <w:p>
            <w:pPr>
              <w:spacing w:before="20" w:after="20" w:line="240" w:lineRule="auto"/>
              <w:jc w:val="left"/>
            </w:pPr>
            <w:r>
              <w:rPr>
                <w:rFonts w:ascii="Times New Roman" w:hAnsi="Times New Roman" w:cs="Times New Roman"/>
                <w:color w:val="000000"/>
                <w:sz w:val="19"/>
                <w:szCs w:val="19"/>
              </w:rPr>
              <w:t xml:space="preserve">Excludes configuration and schema definition</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8.1 — Implementation metrics by area.</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34 application screens</w:t>
      </w:r>
      <w:r>
        <w:rPr>
          <w:rFonts w:ascii="Times New Roman" w:hAnsi="Times New Roman" w:cs="Times New Roman"/>
          <w:color w:val="000000"/>
          <w:sz w:val="22"/>
          <w:szCs w:val="22"/>
        </w:rPr>
        <w:t xml:space="preserve"> across ten functional modules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30-table relational schema</w:t>
      </w:r>
      <w:r>
        <w:rPr>
          <w:rFonts w:ascii="Times New Roman" w:hAnsi="Times New Roman" w:cs="Times New Roman"/>
          <w:color w:val="000000"/>
          <w:sz w:val="22"/>
          <w:szCs w:val="22"/>
        </w:rPr>
        <w:t xml:space="preserve"> spanning nine operational cycles</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15 roles across 21 permission domains</w:t>
      </w:r>
      <w:r>
        <w:rPr>
          <w:rFonts w:ascii="Times New Roman" w:hAnsi="Times New Roman" w:cs="Times New Roman"/>
          <w:color w:val="000000"/>
          <w:sz w:val="22"/>
          <w:szCs w:val="22"/>
        </w:rPr>
        <w:t xml:space="preserve">, verified complete by scripted enumeration</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17 natural language intents</w:t>
      </w:r>
      <w:r>
        <w:rPr>
          <w:rFonts w:ascii="Times New Roman" w:hAnsi="Times New Roman" w:cs="Times New Roman"/>
          <w:color w:val="000000"/>
          <w:sz w:val="22"/>
          <w:szCs w:val="22"/>
        </w:rPr>
        <w:t xml:space="preserve"> with entity extraction and multi-turn dialogue</w:t>
      </w:r>
    </w:p>
    <w:p>
      <w:pPr>
        <w:ind w:left="360" w:hanging="360"/>
        <w:spacing w:before="0" w:after="80" w:line="276" w:lineRule="auto"/>
        <w:jc w:val="both"/>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659-query labelled corpus</w:t>
      </w:r>
      <w:r>
        <w:rPr>
          <w:rFonts w:ascii="Times New Roman" w:hAnsi="Times New Roman" w:cs="Times New Roman"/>
          <w:color w:val="000000"/>
          <w:sz w:val="22"/>
          <w:szCs w:val="22"/>
        </w:rPr>
        <w:t xml:space="preserve"> supporting a classifier at 78.7% cross-validated accuracy</w:t>
      </w:r>
    </w:p>
    <w:p>
      <w:pPr>
        <w:spacing w:before="280" w:after="120" w:line="276" w:lineRule="auto"/>
        <w:jc w:val="left"/>
        <w:keepNext/>
      </w:pPr>
      <w:r>
        <w:rPr>
          <w:rFonts w:ascii="Times New Roman" w:hAnsi="Times New Roman" w:cs="Times New Roman"/>
          <w:b/>
          <w:color w:val="1F4E79"/>
          <w:sz w:val="26"/>
          <w:szCs w:val="26"/>
        </w:rPr>
        <w:t xml:space="preserve">8.2 Classifier Iteration History</w:t>
      </w:r>
    </w:p>
    <w:p>
      <w:pPr>
        <w:spacing w:before="0" w:after="120" w:line="276" w:lineRule="auto"/>
        <w:jc w:val="both"/>
      </w:pPr>
      <w:r>
        <w:rPr>
          <w:rFonts w:ascii="Times New Roman" w:hAnsi="Times New Roman" w:cs="Times New Roman"/>
          <w:color w:val="000000"/>
          <w:sz w:val="22"/>
          <w:szCs w:val="22"/>
        </w:rPr>
        <w:t xml:space="preserve">The final accuracy was not obtained in a single attempt. Four iterations were conducted, each preceded by a diagnostic step determining what to change.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470"/>
        <w:gridCol w:w="2256"/>
        <w:gridCol w:w="1128"/>
        <w:gridCol w:w="752"/>
        <w:gridCol w:w="4794"/>
      </w:tblGrid>
      <w:tr>
        <w:trPr>
          <w:tblHeader/>
        </w:trPr>
        <w:tc>
          <w:tcPr>
            <w:tcW w:w="470"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w:t>
            </w:r>
          </w:p>
        </w:tc>
        <w:tc>
          <w:tcPr>
            <w:tcW w:w="225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Intervention</w:t>
            </w:r>
          </w:p>
        </w:tc>
        <w:tc>
          <w:tcPr>
            <w:tcW w:w="112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CV accuracy</w:t>
            </w:r>
          </w:p>
        </w:tc>
        <w:tc>
          <w:tcPr>
            <w:tcW w:w="75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Δ</w:t>
            </w:r>
          </w:p>
        </w:tc>
        <w:tc>
          <w:tcPr>
            <w:tcW w:w="4794"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Diagnostic reasoning</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1</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Initial implementation — 244 examples, default hyperparameters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47.1%</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Training accuracy of 93.4% against 45.9% on test indicated substantial overfitting</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2</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Cross-validated grid search, 180 configurations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54.6%</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+7.5</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L2-normalised vectors sum to ~1, leaving log-scores too closely spaced; softmax output was near-uniform at roughly 10% across all 17 classes</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3</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Corpus expansion, 244 → 616 examples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75.8%</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+21.2</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≈11 training examples per class was insufficient to estimate reliable likelihoods over a 266-term vocabulary</w:t>
            </w:r>
          </w:p>
        </w:tc>
      </w:tr>
      <w:tr>
        <w:tc>
          <w:tcPr>
            <w:tcW w:w="470" w:type="dxa"/>
            <w:vAlign w:val="top"/>
          </w:tcPr>
          <w:p>
            <w:pPr>
              <w:spacing w:before="20" w:after="20" w:line="240" w:lineRule="auto"/>
              <w:jc w:val="left"/>
            </w:pPr>
            <w:r>
              <w:rPr>
                <w:rFonts w:ascii="Times New Roman" w:hAnsi="Times New Roman" w:cs="Times New Roman"/>
                <w:color w:val="000000"/>
                <w:sz w:val="19"/>
                <w:szCs w:val="19"/>
              </w:rPr>
              <w:t xml:space="preserve">4</w:t>
            </w:r>
          </w:p>
        </w:tc>
        <w:tc>
          <w:tcPr>
            <w:tcW w:w="2256" w:type="dxa"/>
            <w:vAlign w:val="top"/>
          </w:tcPr>
          <w:p>
            <w:pPr>
              <w:spacing w:before="20" w:after="20" w:line="240" w:lineRule="auto"/>
              <w:jc w:val="left"/>
            </w:pPr>
            <w:r>
              <w:rPr>
                <w:rFonts w:ascii="Times New Roman" w:hAnsi="Times New Roman" w:cs="Times New Roman"/>
                <w:color w:val="000000"/>
                <w:sz w:val="19"/>
                <w:szCs w:val="19"/>
              </w:rPr>
              <w:t xml:space="preserve">Corpus disambiguation following confusion analysis</w:t>
            </w:r>
          </w:p>
        </w:tc>
        <w:tc>
          <w:tcPr>
            <w:tcW w:w="1128" w:type="dxa"/>
            <w:vAlign w:val="top"/>
          </w:tcPr>
          <w:p>
            <w:pPr>
              <w:spacing w:before="20" w:after="20" w:line="240" w:lineRule="auto"/>
              <w:jc w:val="right"/>
            </w:pPr>
            <w:r>
              <w:rPr>
                <w:rFonts w:ascii="Times New Roman" w:hAnsi="Times New Roman" w:cs="Times New Roman"/>
                <w:color w:val="000000"/>
                <w:sz w:val="19"/>
                <w:szCs w:val="19"/>
              </w:rPr>
              <w:t xml:space="preserve">78.7%</w:t>
            </w:r>
          </w:p>
        </w:tc>
        <w:tc>
          <w:tcPr>
            <w:tcW w:w="752" w:type="dxa"/>
            <w:vAlign w:val="top"/>
          </w:tcPr>
          <w:p>
            <w:pPr>
              <w:spacing w:before="20" w:after="20" w:line="240" w:lineRule="auto"/>
              <w:jc w:val="right"/>
            </w:pPr>
            <w:r>
              <w:rPr>
                <w:rFonts w:ascii="Times New Roman" w:hAnsi="Times New Roman" w:cs="Times New Roman"/>
                <w:color w:val="000000"/>
                <w:sz w:val="19"/>
                <w:szCs w:val="19"/>
              </w:rPr>
              <w:t xml:space="preserve">+2.9</w:t>
            </w:r>
          </w:p>
        </w:tc>
        <w:tc>
          <w:tcPr>
            <w:tcW w:w="4794" w:type="dxa"/>
            <w:vAlign w:val="top"/>
          </w:tcPr>
          <w:p>
            <w:pPr>
              <w:spacing w:before="20" w:after="20" w:line="240" w:lineRule="auto"/>
              <w:jc w:val="left"/>
            </w:pPr>
            <w:r>
              <w:rPr>
                <w:rFonts w:ascii="Times New Roman" w:hAnsi="Times New Roman" w:cs="Times New Roman"/>
                <w:color w:val="000000"/>
                <w:sz w:val="19"/>
                <w:szCs w:val="19"/>
              </w:rPr>
              <w:t xml:space="preserve">One confusion pair accounted for 14% of test errors; the cause was inconsistent labelling rather than model capacity</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8.2 — Experimental iteration history. Accuracies are five-fold cross-validated to permit comparison across iterations.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CV accuracy progression</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1  |##############################                    | 47.1%</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2  |###################################               | 54.6%</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3  |################################################  | 75.8%</w:t>
      </w:r>
    </w:p>
    <w:p>
      <w:pPr>
        <w:shd w:val="clear" w:color="auto" w:fill="F2F2F2"/>
        <w:ind w:left="180" w:hanging="0"/>
        <w:spacing w:before="0" w:after="0" w:line="240" w:lineRule="auto"/>
        <w:jc w:val="left"/>
      </w:pPr>
      <w:r>
        <w:rPr>
          <w:rFonts w:ascii="Consolas" w:hAnsi="Consolas" w:cs="Consolas"/>
          <w:color w:val="000000"/>
          <w:sz w:val="17"/>
          <w:szCs w:val="17"/>
        </w:rPr>
        <w:t xml:space="preserve">    Iteration 4  |##################################################| 78.7%</w:t>
      </w:r>
    </w:p>
    <w:p>
      <w:pPr>
        <w:shd w:val="clear" w:color="auto" w:fill="F2F2F2"/>
        <w:ind w:left="180" w:hanging="0"/>
        <w:spacing w:before="0" w:after="0" w:line="240" w:lineRule="auto"/>
        <w:jc w:val="left"/>
      </w:pPr>
      <w:r>
        <w:rPr>
          <w:rFonts w:ascii="Consolas" w:hAnsi="Consolas" w:cs="Consolas"/>
          <w:color w:val="000000"/>
          <w:sz w:val="17"/>
          <w:szCs w:val="17"/>
        </w:rPr>
        <w:t xml:space="preserve">                 0%                                              100%</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pacing w:before="0" w:after="140" w:line="276" w:lineRule="auto"/>
        <w:jc w:val="both"/>
      </w:pPr>
    </w:p>
    <w:p>
      <w:pPr>
        <w:spacing w:before="0" w:after="240" w:line="276" w:lineRule="auto"/>
        <w:jc w:val="center"/>
      </w:pPr>
      <w:r>
        <w:rPr>
          <w:rFonts w:ascii="Times New Roman" w:hAnsi="Times New Roman" w:cs="Times New Roman"/>
          <w:i/>
          <w:color w:val="595959"/>
          <w:sz w:val="19"/>
          <w:szCs w:val="19"/>
        </w:rPr>
        <w:t xml:space="preserve">Figure 8.1 — Classifier accuracy progression across experimental iterations.</w:t>
      </w:r>
    </w:p>
    <w:p>
      <w:pPr>
        <w:spacing w:before="0" w:after="120" w:line="276" w:lineRule="auto"/>
        <w:jc w:val="both"/>
      </w:pPr>
      <w:r>
        <w:rPr>
          <w:rFonts w:ascii="Times New Roman" w:hAnsi="Times New Roman" w:cs="Times New Roman"/>
          <w:color w:val="000000"/>
          <w:sz w:val="22"/>
          <w:szCs w:val="22"/>
        </w:rPr>
        <w:t xml:space="preserve">The largest single gain, 21.2 points, came from enlarging the corpus rather than from any modification to the algorithm. This is consistent with the general observation that on small datasets the quantity and quality of labelled data dominate model selection, and it is the most transferable finding of the project.</w:t>
      </w:r>
    </w:p>
    <w:p>
      <w:pPr>
        <w:spacing w:before="280" w:after="120" w:line="276" w:lineRule="auto"/>
        <w:jc w:val="left"/>
        <w:keepNext/>
      </w:pPr>
      <w:r>
        <w:rPr>
          <w:rFonts w:ascii="Times New Roman" w:hAnsi="Times New Roman" w:cs="Times New Roman"/>
          <w:b/>
          <w:color w:val="1F4E79"/>
          <w:sz w:val="26"/>
          <w:szCs w:val="26"/>
        </w:rPr>
        <w:t xml:space="preserve">8.3 Defect Classes Identified and Resolved</w:t>
      </w:r>
    </w:p>
    <w:p>
      <w:pPr>
        <w:spacing w:before="0" w:after="120" w:line="276" w:lineRule="auto"/>
        <w:jc w:val="both"/>
      </w:pPr>
      <w:r>
        <w:rPr>
          <w:rFonts w:ascii="Times New Roman" w:hAnsi="Times New Roman" w:cs="Times New Roman"/>
          <w:color w:val="000000"/>
          <w:sz w:val="22"/>
          <w:szCs w:val="22"/>
        </w:rPr>
        <w:t xml:space="preserve">Several defects encountered during development were structural rather than incidental, and are recorded here because the diagnosis in each case was more instructive than the fix.</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632"/>
        <w:gridCol w:w="6768"/>
      </w:tblGrid>
      <w:tr>
        <w:trPr>
          <w:tblHeader/>
        </w:trPr>
        <w:tc>
          <w:tcPr>
            <w:tcW w:w="26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Defect</w:t>
            </w:r>
          </w:p>
        </w:tc>
        <w:tc>
          <w:tcPr>
            <w:tcW w:w="6768"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Diagnosis and resolution</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Authorisation checks failing silently across eleven screens</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Checks had been written against legacy role identifiers that no seeded account carried, so they evaluated false for every real user. The most severe instance locked the administrator out of system settings entirely. Resolved by routing every check through shared role-predicate helpers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Order marked delivered against insufficient stock</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The availability guard covered only the transition to Ready for Dispatch, leaving Shipped and Delivered directly reachable. An order for 450 units was fulfilled against 250 in stock, producing a negative position. Guard extended across all three forward transitions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Genuine shortfalls blocking orders entirely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Introduced by the fix above; business practice is to deliver what exists and hold the balance. Resolved by adding cumulative partial delivery with a distinct order state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Visit reports referencing non-existent orders</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The order-creation routine did not return the generated identifier, so the field module recorded a fabricated reference. Resolved by returning the identifier and awaiting it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Inventory deductions silently reverting</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Persistence calls were issued without awaiting completion, so deductions applied locally but were overwritten by the next authoritative fetch. Resolved by awaiting all writes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Five-to-six second delay before content appeared</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First paint blocked on ~25 sequential network fetches. Resolved by hydrating state synchronously from the local mirror, deferring the authoritative fetch to the background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Fuzzy matcher corrupting valid words</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"doing" corrected to "owing", "trader" to "order". Resolved by reducing the edit budget for short tokens to one and adding a protected-word list</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"total spending" matching order status "pending"</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Substring testing matched inside a longer word. Resolved by whole-word boundary matching for short controlled vocabularies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Classifier reporting ~100% confidence on every query</w:t>
            </w:r>
          </w:p>
        </w:tc>
        <w:tc>
          <w:tcPr>
            <w:tcW w:w="6768" w:type="dxa"/>
            <w:vAlign w:val="top"/>
          </w:tcPr>
          <w:p>
            <w:pPr>
              <w:spacing w:before="20" w:after="20" w:line="240" w:lineRule="auto"/>
              <w:jc w:val="left"/>
            </w:pPr>
            <w:r>
              <w:rPr>
                <w:rFonts w:ascii="Times New Roman" w:hAnsi="Times New Roman" w:cs="Times New Roman"/>
                <w:color w:val="000000"/>
                <w:sz w:val="19"/>
                <w:szCs w:val="19"/>
              </w:rPr>
              <w:t xml:space="preserve">The highest-scoring scale over-sharpened the posterior. A lower scale was chosen: accuracy statistically unchanged, confidence spanning a usable 64–100% range</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8.3 — Defect classes identified and resolved.</w:t>
      </w:r>
    </w:p>
    <w:p>
      <w:pPr>
        <w:spacing w:before="280" w:after="120" w:line="276" w:lineRule="auto"/>
        <w:jc w:val="left"/>
        <w:keepNext/>
      </w:pPr>
      <w:r>
        <w:rPr>
          <w:rFonts w:ascii="Times New Roman" w:hAnsi="Times New Roman" w:cs="Times New Roman"/>
          <w:b/>
          <w:color w:val="1F4E79"/>
          <w:sz w:val="26"/>
          <w:szCs w:val="26"/>
        </w:rPr>
        <w:t xml:space="preserve">8.4 Comparative Evaluation: Symbolic Engine versus Classifier</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60" w:type="dxa"/>
          <w:left w:w="100" w:type="dxa"/>
          <w:bottom w:w="60" w:type="dxa"/>
          <w:right w:w="100" w:type="dxa"/>
        </w:tblCellMar>
      </w:tblPr>
      <w:tblGrid>
        <w:gridCol w:w="2632"/>
        <w:gridCol w:w="3196"/>
        <w:gridCol w:w="3572"/>
      </w:tblGrid>
      <w:tr>
        <w:trPr>
          <w:tblHeader/>
        </w:trPr>
        <w:tc>
          <w:tcPr>
            <w:tcW w:w="263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Property</w:t>
            </w:r>
          </w:p>
        </w:tc>
        <w:tc>
          <w:tcPr>
            <w:tcW w:w="3196"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Symbolic engine</w:t>
            </w:r>
          </w:p>
        </w:tc>
        <w:tc>
          <w:tcPr>
            <w:tcW w:w="3572" w:type="dxa"/>
            <w:shd w:val="clear" w:color="auto" w:fill="D9E2F3"/>
            <w:vAlign w:val="top"/>
          </w:tcPr>
          <w:p>
            <w:pPr>
              <w:spacing w:before="20" w:after="20" w:line="240" w:lineRule="auto"/>
              <w:jc w:val="left"/>
            </w:pPr>
            <w:r>
              <w:rPr>
                <w:rFonts w:ascii="Times New Roman" w:hAnsi="Times New Roman" w:cs="Times New Roman"/>
                <w:b/>
                <w:color w:val="000000"/>
                <w:sz w:val="19"/>
                <w:szCs w:val="19"/>
              </w:rPr>
              <w:t xml:space="preserve">Statistical classifier</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Coverage of novel phrasing</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Limited to authored vocabulary</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Generalises to unseen wordings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Behaviour on unknown input</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Declines explicitly</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Returns nearest class regardless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Named entity recognition</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Supported (live gazetteer)</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Not attempted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Dialogue state tracking</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Supported</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Not attempted</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Typo tolerance</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Damerau–Levenshtein correction</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Implicit only, via shared n-grams</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Auditability</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Responsible rule identifiable</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Feature contributions inspectable</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Maintenance on vocabulary change</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Manual rule authoring</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Corpus extension and retraining</w:t>
            </w:r>
          </w:p>
        </w:tc>
      </w:tr>
      <w:tr>
        <w:tc>
          <w:tcPr>
            <w:tcW w:w="2632" w:type="dxa"/>
            <w:vAlign w:val="top"/>
          </w:tcPr>
          <w:p>
            <w:pPr>
              <w:spacing w:before="20" w:after="20" w:line="240" w:lineRule="auto"/>
              <w:jc w:val="left"/>
            </w:pPr>
            <w:r>
              <w:rPr>
                <w:rFonts w:ascii="Times New Roman" w:hAnsi="Times New Roman" w:cs="Times New Roman"/>
                <w:color w:val="000000"/>
                <w:sz w:val="19"/>
                <w:szCs w:val="19"/>
              </w:rPr>
              <w:t xml:space="preserve">Measured accuracy</w:t>
            </w:r>
          </w:p>
        </w:tc>
        <w:tc>
          <w:tcPr>
            <w:tcW w:w="3196" w:type="dxa"/>
            <w:vAlign w:val="top"/>
          </w:tcPr>
          <w:p>
            <w:pPr>
              <w:spacing w:before="20" w:after="20" w:line="240" w:lineRule="auto"/>
              <w:jc w:val="left"/>
            </w:pPr>
            <w:r>
              <w:rPr>
                <w:rFonts w:ascii="Times New Roman" w:hAnsi="Times New Roman" w:cs="Times New Roman"/>
                <w:color w:val="000000"/>
                <w:sz w:val="19"/>
                <w:szCs w:val="19"/>
              </w:rPr>
              <w:t xml:space="preserve">Not directly comparable</w:t>
            </w:r>
          </w:p>
        </w:tc>
        <w:tc>
          <w:tcPr>
            <w:tcW w:w="3572" w:type="dxa"/>
            <w:vAlign w:val="top"/>
          </w:tcPr>
          <w:p>
            <w:pPr>
              <w:spacing w:before="20" w:after="20" w:line="240" w:lineRule="auto"/>
              <w:jc w:val="left"/>
            </w:pPr>
            <w:r>
              <w:rPr>
                <w:rFonts w:ascii="Times New Roman" w:hAnsi="Times New Roman" w:cs="Times New Roman"/>
                <w:color w:val="000000"/>
                <w:sz w:val="19"/>
                <w:szCs w:val="19"/>
              </w:rPr>
              <w:t xml:space="preserve">78.7% ± 2.7% (5-fold CV)</w:t>
            </w:r>
          </w:p>
        </w:tc>
      </w:tr>
    </w:tbl>
    <w:p>
      <w:pPr>
        <w:spacing w:before="0" w:after="100" w:line="276" w:lineRule="auto"/>
        <w:jc w:val="both"/>
      </w:pPr>
    </w:p>
    <w:p>
      <w:pPr>
        <w:spacing w:before="0" w:after="240" w:line="276" w:lineRule="auto"/>
        <w:jc w:val="center"/>
      </w:pPr>
      <w:r>
        <w:rPr>
          <w:rFonts w:ascii="Times New Roman" w:hAnsi="Times New Roman" w:cs="Times New Roman"/>
          <w:i/>
          <w:color w:val="595959"/>
          <w:sz w:val="19"/>
          <w:szCs w:val="19"/>
        </w:rPr>
        <w:t xml:space="preserve">Table 8.4 — Capability comparison of the two approaches.</w:t>
      </w:r>
    </w:p>
    <w:p>
      <w:pPr>
        <w:spacing w:before="0" w:after="120" w:line="276" w:lineRule="auto"/>
        <w:jc w:val="both"/>
      </w:pPr>
      <w:r>
        <w:rPr>
          <w:rFonts w:ascii="Times New Roman" w:hAnsi="Times New Roman" w:cs="Times New Roman"/>
          <w:color w:val="000000"/>
          <w:sz w:val="22"/>
          <w:szCs w:val="22"/>
        </w:rPr>
        <w:t xml:space="preserve">The final row carries a methodological caution. Evaluating the rule engine against a corpus written with knowledge of its vocabulary would produce an inflated figure measuring self-consistency rather than generalisation. The two are therefore compared qualitatively on capability, and only the classifier — evaluated against data held out from its own training — is assigned a numerical accuracy.</w:t>
      </w:r>
    </w:p>
    <w:p>
      <w:pPr>
        <w:spacing w:before="0" w:after="120" w:line="276" w:lineRule="auto"/>
        <w:jc w:val="both"/>
      </w:pPr>
      <w:r>
        <w:rPr>
          <w:rFonts w:ascii="Times New Roman" w:hAnsi="Times New Roman" w:cs="Times New Roman"/>
          <w:color w:val="000000"/>
          <w:sz w:val="22"/>
          <w:szCs w:val="22"/>
        </w:rPr>
        <w:t xml:space="preserve">Both are exposed simultaneously in the evaluation dashboard, where a user may enter any query and observe both verdicts. Disagreement is surfaced explicitly and in practice indicates either a phrasing the rule vocabulary does not yet cover, or a query the classifier has assigned on weak evidence.</w:t>
      </w:r>
    </w:p>
    <w:p>
      <w:pPr>
        <w:spacing w:before="280" w:after="120" w:line="276" w:lineRule="auto"/>
        <w:jc w:val="left"/>
        <w:keepNext/>
      </w:pPr>
      <w:r>
        <w:rPr>
          <w:rFonts w:ascii="Times New Roman" w:hAnsi="Times New Roman" w:cs="Times New Roman"/>
          <w:b/>
          <w:color w:val="1F4E79"/>
          <w:sz w:val="26"/>
          <w:szCs w:val="26"/>
        </w:rPr>
        <w:t xml:space="preserve">8.5 Key Takeaways</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b/>
          <w:color w:val="000000"/>
          <w:sz w:val="22"/>
          <w:szCs w:val="22"/>
        </w:rPr>
        <w:t xml:space="preserve">Data quality dominated algorithm selection.</w:t>
      </w:r>
      <w:r>
        <w:rPr>
          <w:rFonts w:ascii="Times New Roman" w:hAnsi="Times New Roman" w:cs="Times New Roman"/>
          <w:color w:val="000000"/>
          <w:sz w:val="22"/>
          <w:szCs w:val="22"/>
        </w:rPr>
        <w:t xml:space="preserve"> Corpus work delivered 24.1 points across iterations 3 and 4; the algorithmic substitution delivered 0.4 points, within noise.</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b/>
          <w:color w:val="000000"/>
          <w:sz w:val="22"/>
          <w:szCs w:val="22"/>
        </w:rPr>
        <w:t xml:space="preserve">Aggregate accuracy conceals structure.</w:t>
      </w:r>
      <w:r>
        <w:rPr>
          <w:rFonts w:ascii="Times New Roman" w:hAnsi="Times New Roman" w:cs="Times New Roman"/>
          <w:color w:val="000000"/>
          <w:sz w:val="22"/>
          <w:szCs w:val="22"/>
        </w:rPr>
        <w:t xml:space="preserve"> The defect resolved in Section 6.10 was invisible in the aggregate figure and apparent only in the confusion matrix. Per-class reporting was not presentational — it was the instrument that located the fault.</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b/>
          <w:color w:val="000000"/>
          <w:sz w:val="22"/>
          <w:szCs w:val="22"/>
        </w:rPr>
        <w:t xml:space="preserve">A negative result can be more informative than a positive one.</w:t>
      </w:r>
      <w:r>
        <w:rPr>
          <w:rFonts w:ascii="Times New Roman" w:hAnsi="Times New Roman" w:cs="Times New Roman"/>
          <w:color w:val="000000"/>
          <w:sz w:val="22"/>
          <w:szCs w:val="22"/>
        </w:rPr>
        <w:t xml:space="preserve"> The Complement Naive Bayes experiment failed to improve accuracy but succeeded in refuting a hypothesis, which is what redirected effort productively.</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b/>
          <w:color w:val="000000"/>
          <w:sz w:val="22"/>
          <w:szCs w:val="22"/>
        </w:rPr>
        <w:t xml:space="preserve">Calibration is distinct from accuracy.</w:t>
      </w:r>
      <w:r>
        <w:rPr>
          <w:rFonts w:ascii="Times New Roman" w:hAnsi="Times New Roman" w:cs="Times New Roman"/>
          <w:color w:val="000000"/>
          <w:sz w:val="22"/>
          <w:szCs w:val="22"/>
        </w:rPr>
        <w:t xml:space="preserve"> A configuration may maximise correctness while rendering its confidence output meaningless. Where confidence is displayed, it forms part of the deliverable.</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b/>
          <w:color w:val="000000"/>
          <w:sz w:val="22"/>
          <w:szCs w:val="22"/>
        </w:rPr>
        <w:t xml:space="preserve">Constraints belong at the point of transaction.</w:t>
      </w:r>
      <w:r>
        <w:rPr>
          <w:rFonts w:ascii="Times New Roman" w:hAnsi="Times New Roman" w:cs="Times New Roman"/>
          <w:color w:val="000000"/>
          <w:sz w:val="22"/>
          <w:szCs w:val="22"/>
        </w:rPr>
        <w:t xml:space="preserve"> Every integrity defect in Section 8.3 shared a shape: a rule enforced at one point in a workflow but not at every point where the underlying state could change.</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b/>
          <w:color w:val="000000"/>
          <w:sz w:val="22"/>
          <w:szCs w:val="22"/>
        </w:rPr>
        <w:t xml:space="preserve">Cross-validation is essential at this scale.</w:t>
      </w:r>
      <w:r>
        <w:rPr>
          <w:rFonts w:ascii="Times New Roman" w:hAnsi="Times New Roman" w:cs="Times New Roman"/>
          <w:color w:val="000000"/>
          <w:sz w:val="22"/>
          <w:szCs w:val="22"/>
        </w:rPr>
        <w:t xml:space="preserve"> The single-split figure exceeded the cross-validated mean by 7.1 points; reporting only the former would have overstated the system's capability.</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Chapter 9: Conclusion and Future Scope</w:t>
      </w:r>
    </w:p>
    <w:p>
      <w:pPr>
        <w:spacing w:before="280" w:after="120" w:line="276" w:lineRule="auto"/>
        <w:jc w:val="left"/>
        <w:keepNext/>
      </w:pPr>
      <w:r>
        <w:rPr>
          <w:rFonts w:ascii="Times New Roman" w:hAnsi="Times New Roman" w:cs="Times New Roman"/>
          <w:b/>
          <w:color w:val="1F4E79"/>
          <w:sz w:val="26"/>
          <w:szCs w:val="26"/>
        </w:rPr>
        <w:t xml:space="preserve">9.1 Conclusion</w:t>
      </w:r>
    </w:p>
    <w:p>
      <w:pPr>
        <w:spacing w:before="0" w:after="120" w:line="276" w:lineRule="auto"/>
        <w:jc w:val="both"/>
      </w:pPr>
      <w:r>
        <w:rPr>
          <w:rFonts w:ascii="Times New Roman" w:hAnsi="Times New Roman" w:cs="Times New Roman"/>
          <w:color w:val="000000"/>
          <w:sz w:val="22"/>
          <w:szCs w:val="22"/>
        </w:rPr>
        <w:t xml:space="preserve">This internship produced an integrated distribution management, CRM and ERP platform in production use, together with an embedded natural language intelligence layer and a rigorously evaluated statistical classifier. The platform comprises 54 source modules totalling 20,126 lines across 34 screens, backed by a 30-table relational schema and a role-based access model covering 15 roles across 21 permission domains. It spans the order-to-cash and procure-to-pay cycles, batch-level inventory with expiry-aware allocation, a three-tier channel hierarchy with partner portals, accounting, scheme administration and field-force automation.</w:t>
      </w:r>
    </w:p>
    <w:p>
      <w:pPr>
        <w:spacing w:before="0" w:after="120" w:line="276" w:lineRule="auto"/>
        <w:jc w:val="both"/>
      </w:pPr>
      <w:r>
        <w:rPr>
          <w:rFonts w:ascii="Times New Roman" w:hAnsi="Times New Roman" w:cs="Times New Roman"/>
          <w:color w:val="000000"/>
          <w:sz w:val="22"/>
          <w:szCs w:val="22"/>
        </w:rPr>
        <w:t xml:space="preserve">The intelligence layer implements the three canonical components of a task-oriented dialogue system — intent classification, named entity recognition and dialogue state tracking — with Damerau–Levenshtein approximate matching providing tolerance to the misspellings characteristic of real operator input. The statistical classifier, written from mathematical first principles with no machine learning library, achieves 85.8% held-out accuracy and 78.7% (± 2.7%) under five-fold cross-validation across 17 intents, approximately 13.3 times the random baseline.</w:t>
      </w:r>
    </w:p>
    <w:p>
      <w:pPr>
        <w:spacing w:before="0" w:after="120" w:line="276" w:lineRule="auto"/>
        <w:jc w:val="both"/>
      </w:pPr>
      <w:r>
        <w:rPr>
          <w:rFonts w:ascii="Times New Roman" w:hAnsi="Times New Roman" w:cs="Times New Roman"/>
          <w:color w:val="000000"/>
          <w:sz w:val="22"/>
          <w:szCs w:val="22"/>
        </w:rPr>
        <w:t xml:space="preserve">The constraints set out in Section 2.5 are satisfied. No business data leaves the client environment. Answers are computed rather than generated, so a numerical result is either correct or absent — never plausibly wrong. Marginal cost per query is zero and inference is instantaneous. The system declines explicitly when a question exceeds its competence.</w:t>
      </w:r>
    </w:p>
    <w:p>
      <w:pPr>
        <w:spacing w:before="0" w:after="120" w:line="276" w:lineRule="auto"/>
        <w:jc w:val="both"/>
      </w:pPr>
      <w:r>
        <w:rPr>
          <w:rFonts w:ascii="Times New Roman" w:hAnsi="Times New Roman" w:cs="Times New Roman"/>
          <w:color w:val="000000"/>
          <w:sz w:val="22"/>
          <w:szCs w:val="22"/>
        </w:rPr>
        <w:t xml:space="preserve">The more durable outcome, however, is methodological. The accuracy progression from 47.1% to 78.7% was not achieved by trying successive algorithms until one performed better. Each iteration was preceded by a diagnostic step identifying what was actually failing: overfitting was diagnosed from the divergence between training and test accuracy; near-uniform posteriors were traced to normalisation compressing the score range; and the dominant confusion pair was root-caused to inconsistent labelling in data authored by hand. The intervention producing the largest gain was corpus expansion, and the intervention that failed was the algorithmic substitution undertaken on the strongest theoretical grounds. Measuring before changing, and retaining the result when the measurement contradicts the expectation, is the principal transferable lesson of this work.</w:t>
      </w:r>
    </w:p>
    <w:p>
      <w:pPr>
        <w:spacing w:before="280" w:after="120" w:line="276" w:lineRule="auto"/>
        <w:jc w:val="left"/>
        <w:keepNext/>
      </w:pPr>
      <w:r>
        <w:rPr>
          <w:rFonts w:ascii="Times New Roman" w:hAnsi="Times New Roman" w:cs="Times New Roman"/>
          <w:b/>
          <w:color w:val="1F4E79"/>
          <w:sz w:val="26"/>
          <w:szCs w:val="26"/>
        </w:rPr>
        <w:t xml:space="preserve">9.2 Limitations</w:t>
      </w:r>
    </w:p>
    <w:p>
      <w:pPr>
        <w:spacing w:before="0" w:after="120" w:line="276" w:lineRule="auto"/>
        <w:jc w:val="both"/>
      </w:pPr>
      <w:r>
        <w:rPr>
          <w:rFonts w:ascii="Times New Roman" w:hAnsi="Times New Roman" w:cs="Times New Roman"/>
          <w:b/>
          <w:color w:val="000000"/>
          <w:sz w:val="22"/>
          <w:szCs w:val="22"/>
        </w:rPr>
        <w:t xml:space="preserve">Representational ceiling.</w:t>
      </w:r>
      <w:r>
        <w:rPr>
          <w:rFonts w:ascii="Times New Roman" w:hAnsi="Times New Roman" w:cs="Times New Roman"/>
          <w:color w:val="000000"/>
          <w:sz w:val="22"/>
          <w:szCs w:val="22"/>
        </w:rPr>
        <w:t xml:space="preserve"> A bag-of-words model with bigrams encodes no word order beyond adjacent pairs. Queries whose meaning depends on longer-range structure cannot be resolved reliably, and this bounds achievable accuracy irrespective of further corpus growth.</w:t>
      </w:r>
    </w:p>
    <w:p>
      <w:pPr>
        <w:spacing w:before="0" w:after="120" w:line="276" w:lineRule="auto"/>
        <w:jc w:val="both"/>
      </w:pPr>
      <w:r>
        <w:rPr>
          <w:rFonts w:ascii="Times New Roman" w:hAnsi="Times New Roman" w:cs="Times New Roman"/>
          <w:b/>
          <w:color w:val="000000"/>
          <w:sz w:val="22"/>
          <w:szCs w:val="22"/>
        </w:rPr>
        <w:t xml:space="preserve">Corpus scale and provenance.</w:t>
      </w:r>
      <w:r>
        <w:rPr>
          <w:rFonts w:ascii="Times New Roman" w:hAnsi="Times New Roman" w:cs="Times New Roman"/>
          <w:color w:val="000000"/>
          <w:sz w:val="22"/>
          <w:szCs w:val="22"/>
        </w:rPr>
        <w:t xml:space="preserve"> At 659 examples the corpus remains small, and the persistent gap between training accuracy (98.8%) and cross-validated accuracy (78.7%) indicates residual overfitting. It was moreover authored by one individual and therefore reflects one person's expectations about phrasing rather than an observed distribution of real user queries.</w:t>
      </w:r>
    </w:p>
    <w:p>
      <w:pPr>
        <w:spacing w:before="0" w:after="120" w:line="276" w:lineRule="auto"/>
        <w:jc w:val="both"/>
      </w:pPr>
      <w:r>
        <w:rPr>
          <w:rFonts w:ascii="Times New Roman" w:hAnsi="Times New Roman" w:cs="Times New Roman"/>
          <w:b/>
          <w:color w:val="000000"/>
          <w:sz w:val="22"/>
          <w:szCs w:val="22"/>
        </w:rPr>
        <w:t xml:space="preserve">Bounded competence.</w:t>
      </w:r>
      <w:r>
        <w:rPr>
          <w:rFonts w:ascii="Times New Roman" w:hAnsi="Times New Roman" w:cs="Times New Roman"/>
          <w:color w:val="000000"/>
          <w:sz w:val="22"/>
          <w:szCs w:val="22"/>
        </w:rPr>
        <w:t xml:space="preserve"> The system answers within 17 defined intents and cannot perform open-ended reasoning, multi-step analysis or hypothetical inference. This is a deliberate consequence of the architecture rather than a defect, but it is a real constraint.</w:t>
      </w:r>
    </w:p>
    <w:p>
      <w:pPr>
        <w:spacing w:before="0" w:after="120" w:line="276" w:lineRule="auto"/>
        <w:jc w:val="both"/>
      </w:pPr>
      <w:r>
        <w:rPr>
          <w:rFonts w:ascii="Times New Roman" w:hAnsi="Times New Roman" w:cs="Times New Roman"/>
          <w:b/>
          <w:color w:val="000000"/>
          <w:sz w:val="22"/>
          <w:szCs w:val="22"/>
        </w:rPr>
        <w:t xml:space="preserve">Heuristic analytics.</w:t>
      </w:r>
      <w:r>
        <w:rPr>
          <w:rFonts w:ascii="Times New Roman" w:hAnsi="Times New Roman" w:cs="Times New Roman"/>
          <w:color w:val="000000"/>
          <w:sz w:val="22"/>
          <w:szCs w:val="22"/>
        </w:rPr>
        <w:t xml:space="preserve"> The predictive module employs statistical heuristics rather than fitted models, as stated in Section 6.8. Its outputs are descriptive extrapolations and should not be read as learned forecasts.</w:t>
      </w:r>
    </w:p>
    <w:p>
      <w:pPr>
        <w:spacing w:before="0" w:after="120" w:line="276" w:lineRule="auto"/>
        <w:jc w:val="both"/>
      </w:pPr>
      <w:r>
        <w:rPr>
          <w:rFonts w:ascii="Times New Roman" w:hAnsi="Times New Roman" w:cs="Times New Roman"/>
          <w:b/>
          <w:color w:val="000000"/>
          <w:sz w:val="22"/>
          <w:szCs w:val="22"/>
        </w:rPr>
        <w:t xml:space="preserve">Verification depth.</w:t>
      </w:r>
      <w:r>
        <w:rPr>
          <w:rFonts w:ascii="Times New Roman" w:hAnsi="Times New Roman" w:cs="Times New Roman"/>
          <w:color w:val="000000"/>
          <w:sz w:val="22"/>
          <w:szCs w:val="22"/>
        </w:rPr>
        <w:t xml:space="preserve"> Verification relied on compilation, static analysis, scripted assertion suites and manual scenario testing. An automated regression suite over the business-logic layer would materially strengthen confidence, particularly around the order-to-cash and inventory paths where the defects of Section 8.3 concentrated.</w:t>
      </w:r>
    </w:p>
    <w:p>
      <w:pPr>
        <w:spacing w:before="280" w:after="120" w:line="276" w:lineRule="auto"/>
        <w:jc w:val="left"/>
        <w:keepNext/>
      </w:pPr>
      <w:r>
        <w:rPr>
          <w:rFonts w:ascii="Times New Roman" w:hAnsi="Times New Roman" w:cs="Times New Roman"/>
          <w:b/>
          <w:color w:val="1F4E79"/>
          <w:sz w:val="26"/>
          <w:szCs w:val="26"/>
        </w:rPr>
        <w:t xml:space="preserve">9.3 Future Scope</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b/>
          <w:color w:val="000000"/>
          <w:sz w:val="22"/>
          <w:szCs w:val="22"/>
        </w:rPr>
        <w:t xml:space="preserve">Collect real query logs.</w:t>
      </w:r>
      <w:r>
        <w:rPr>
          <w:rFonts w:ascii="Times New Roman" w:hAnsi="Times New Roman" w:cs="Times New Roman"/>
          <w:color w:val="000000"/>
          <w:sz w:val="22"/>
          <w:szCs w:val="22"/>
        </w:rPr>
        <w:t xml:space="preserve"> Instrumenting the deployed system to accumulate genuine user queries with resolved intents would replace an author's expectations with an observed distribution, and would supply training data at a scale hand-authoring cannot reach. This is the single highest-value next step.</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b/>
          <w:color w:val="000000"/>
          <w:sz w:val="22"/>
          <w:szCs w:val="22"/>
        </w:rPr>
        <w:t xml:space="preserve">Introduce sentence embeddings.</w:t>
      </w:r>
      <w:r>
        <w:rPr>
          <w:rFonts w:ascii="Times New Roman" w:hAnsi="Times New Roman" w:cs="Times New Roman"/>
          <w:color w:val="000000"/>
          <w:sz w:val="22"/>
          <w:szCs w:val="22"/>
        </w:rPr>
        <w:t xml:space="preserve"> A compact quantised sentence-transformer would overcome the bag-of-words ceiling by recognising semantic similarity between queries sharing no vocabulary — the most direct path past approximately 85% accuracy.</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b/>
          <w:color w:val="000000"/>
          <w:sz w:val="22"/>
          <w:szCs w:val="22"/>
        </w:rPr>
        <w:t xml:space="preserve">Calibrate reported confidence.</w:t>
      </w:r>
      <w:r>
        <w:rPr>
          <w:rFonts w:ascii="Times New Roman" w:hAnsi="Times New Roman" w:cs="Times New Roman"/>
          <w:color w:val="000000"/>
          <w:sz w:val="22"/>
          <w:szCs w:val="22"/>
        </w:rPr>
        <w:t xml:space="preserve"> Naive Bayes posteriors are known to be poorly calibrated. Platt scaling or isotonic regression on a validation partition would align displayed confidence with observed correctness, permitting a principled abstention threshold.</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b/>
          <w:color w:val="000000"/>
          <w:sz w:val="22"/>
          <w:szCs w:val="22"/>
        </w:rPr>
        <w:t xml:space="preserve">Employ the classifier in the operational path.</w:t>
      </w:r>
      <w:r>
        <w:rPr>
          <w:rFonts w:ascii="Times New Roman" w:hAnsi="Times New Roman" w:cs="Times New Roman"/>
          <w:color w:val="000000"/>
          <w:sz w:val="22"/>
          <w:szCs w:val="22"/>
        </w:rPr>
        <w:t xml:space="preserve"> At present it is evaluated and displayed but does not serve live queries. A hybrid arrangement — classifier for intent, symbolic engine for entities and dialogue state — would combine the generalisation of the former with the precision of the latter.</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b/>
          <w:color w:val="000000"/>
          <w:sz w:val="22"/>
          <w:szCs w:val="22"/>
        </w:rPr>
        <w:t xml:space="preserve">Add genuine unsupervised learning.</w:t>
      </w:r>
      <w:r>
        <w:rPr>
          <w:rFonts w:ascii="Times New Roman" w:hAnsi="Times New Roman" w:cs="Times New Roman"/>
          <w:color w:val="000000"/>
          <w:sz w:val="22"/>
          <w:szCs w:val="22"/>
        </w:rPr>
        <w:t xml:space="preserve"> K-means clustering over recency, frequency and monetary features would provide data-driven customer segmentation, complementing the present supervised classification.</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b/>
          <w:color w:val="000000"/>
          <w:sz w:val="22"/>
          <w:szCs w:val="22"/>
        </w:rPr>
        <w:t xml:space="preserve">Extend intent coverage.</w:t>
      </w:r>
      <w:r>
        <w:rPr>
          <w:rFonts w:ascii="Times New Roman" w:hAnsi="Times New Roman" w:cs="Times New Roman"/>
          <w:color w:val="000000"/>
          <w:sz w:val="22"/>
          <w:szCs w:val="22"/>
        </w:rPr>
        <w:t xml:space="preserve"> Procurement, scheme and claim management, complaint handling and field-force attendance are represented in the platform but not yet addressed by the language interface.</w:t>
      </w:r>
    </w:p>
    <w:p>
      <w:pPr>
        <w:ind w:left="480" w:hanging="480"/>
        <w:spacing w:before="0" w:after="80" w:line="276" w:lineRule="auto"/>
        <w:jc w:val="both"/>
      </w:pPr>
      <w:r>
        <w:rPr>
          <w:rFonts w:ascii="Times New Roman" w:hAnsi="Times New Roman" w:cs="Times New Roman"/>
          <w:b/>
          <w:color w:val="000000"/>
          <w:sz w:val="22"/>
          <w:szCs w:val="22"/>
        </w:rPr>
        <w:t xml:space="preserve">7.  </w:t>
      </w:r>
      <w:r>
        <w:rPr>
          <w:rFonts w:ascii="Times New Roman" w:hAnsi="Times New Roman" w:cs="Times New Roman"/>
          <w:b/>
          <w:color w:val="000000"/>
          <w:sz w:val="22"/>
          <w:szCs w:val="22"/>
        </w:rPr>
        <w:t xml:space="preserve">Automated regression suite.</w:t>
      </w:r>
      <w:r>
        <w:rPr>
          <w:rFonts w:ascii="Times New Roman" w:hAnsi="Times New Roman" w:cs="Times New Roman"/>
          <w:color w:val="000000"/>
          <w:sz w:val="22"/>
          <w:szCs w:val="22"/>
        </w:rPr>
        <w:t xml:space="preserve"> Coverage over the order-to-cash and inventory paths, where integrity defects concentrated, would convert manual scenario testing into a repeatable guarantee.</w:t>
      </w:r>
    </w:p>
    <w:p>
      <w:pPr>
        <w:ind w:left="480" w:hanging="480"/>
        <w:spacing w:before="0" w:after="80" w:line="276" w:lineRule="auto"/>
        <w:jc w:val="both"/>
      </w:pPr>
      <w:r>
        <w:rPr>
          <w:rFonts w:ascii="Times New Roman" w:hAnsi="Times New Roman" w:cs="Times New Roman"/>
          <w:b/>
          <w:color w:val="000000"/>
          <w:sz w:val="22"/>
          <w:szCs w:val="22"/>
        </w:rPr>
        <w:t xml:space="preserve">8.  </w:t>
      </w:r>
      <w:r>
        <w:rPr>
          <w:rFonts w:ascii="Times New Roman" w:hAnsi="Times New Roman" w:cs="Times New Roman"/>
          <w:b/>
          <w:color w:val="000000"/>
          <w:sz w:val="22"/>
          <w:szCs w:val="22"/>
        </w:rPr>
        <w:t xml:space="preserve">Server-side authorisation.</w:t>
      </w:r>
      <w:r>
        <w:rPr>
          <w:rFonts w:ascii="Times New Roman" w:hAnsi="Times New Roman" w:cs="Times New Roman"/>
          <w:color w:val="000000"/>
          <w:sz w:val="22"/>
          <w:szCs w:val="22"/>
        </w:rPr>
        <w:t xml:space="preserve"> Access control is presently enforced in the application layer. Migrating it to database row-level security would render it independent of client correctness.</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References</w:t>
      </w:r>
    </w:p>
    <w:p>
      <w:pPr>
        <w:ind w:left="480" w:hanging="480"/>
        <w:spacing w:before="0" w:after="80" w:line="276" w:lineRule="auto"/>
        <w:jc w:val="both"/>
      </w:pPr>
      <w:r>
        <w:rPr>
          <w:rFonts w:ascii="Times New Roman" w:hAnsi="Times New Roman" w:cs="Times New Roman"/>
          <w:b/>
          <w:color w:val="000000"/>
          <w:sz w:val="22"/>
          <w:szCs w:val="22"/>
        </w:rPr>
        <w:t xml:space="preserve">1.  </w:t>
      </w:r>
      <w:r>
        <w:rPr>
          <w:rFonts w:ascii="Times New Roman" w:hAnsi="Times New Roman" w:cs="Times New Roman"/>
          <w:color w:val="000000"/>
          <w:sz w:val="22"/>
          <w:szCs w:val="22"/>
        </w:rPr>
        <w:t xml:space="preserve">Rennie, J. D. M., Shih, L., Teevan, J., and Karger, D. R. (2003). “Tackling the Poor Assumptions of Naive Bayes Text Classifiers.” Proceedings of the Twentieth International Conference on Machine Learning (ICML), pp. 616–623.</w:t>
      </w:r>
    </w:p>
    <w:p>
      <w:pPr>
        <w:ind w:left="480" w:hanging="480"/>
        <w:spacing w:before="0" w:after="80" w:line="276" w:lineRule="auto"/>
        <w:jc w:val="both"/>
      </w:pPr>
      <w:r>
        <w:rPr>
          <w:rFonts w:ascii="Times New Roman" w:hAnsi="Times New Roman" w:cs="Times New Roman"/>
          <w:b/>
          <w:color w:val="000000"/>
          <w:sz w:val="22"/>
          <w:szCs w:val="22"/>
        </w:rPr>
        <w:t xml:space="preserve">2.  </w:t>
      </w:r>
      <w:r>
        <w:rPr>
          <w:rFonts w:ascii="Times New Roman" w:hAnsi="Times New Roman" w:cs="Times New Roman"/>
          <w:color w:val="000000"/>
          <w:sz w:val="22"/>
          <w:szCs w:val="22"/>
        </w:rPr>
        <w:t xml:space="preserve">Damerau, F. J. (1964). “A Technique for Computer Detection and Correction of Spelling Errors.” Communications of the ACM, 7(3), pp. 171–176.</w:t>
      </w:r>
    </w:p>
    <w:p>
      <w:pPr>
        <w:ind w:left="480" w:hanging="480"/>
        <w:spacing w:before="0" w:after="80" w:line="276" w:lineRule="auto"/>
        <w:jc w:val="both"/>
      </w:pPr>
      <w:r>
        <w:rPr>
          <w:rFonts w:ascii="Times New Roman" w:hAnsi="Times New Roman" w:cs="Times New Roman"/>
          <w:b/>
          <w:color w:val="000000"/>
          <w:sz w:val="22"/>
          <w:szCs w:val="22"/>
        </w:rPr>
        <w:t xml:space="preserve">3.  </w:t>
      </w:r>
      <w:r>
        <w:rPr>
          <w:rFonts w:ascii="Times New Roman" w:hAnsi="Times New Roman" w:cs="Times New Roman"/>
          <w:color w:val="000000"/>
          <w:sz w:val="22"/>
          <w:szCs w:val="22"/>
        </w:rPr>
        <w:t xml:space="preserve">Levenshtein, V. I. (1966). “Binary Codes Capable of Correcting Deletions, Insertions and Reversals.” Soviet Physics Doklady, 10(8), pp. 707–710.</w:t>
      </w:r>
    </w:p>
    <w:p>
      <w:pPr>
        <w:ind w:left="480" w:hanging="480"/>
        <w:spacing w:before="0" w:after="80" w:line="276" w:lineRule="auto"/>
        <w:jc w:val="both"/>
      </w:pPr>
      <w:r>
        <w:rPr>
          <w:rFonts w:ascii="Times New Roman" w:hAnsi="Times New Roman" w:cs="Times New Roman"/>
          <w:b/>
          <w:color w:val="000000"/>
          <w:sz w:val="22"/>
          <w:szCs w:val="22"/>
        </w:rPr>
        <w:t xml:space="preserve">4.  </w:t>
      </w:r>
      <w:r>
        <w:rPr>
          <w:rFonts w:ascii="Times New Roman" w:hAnsi="Times New Roman" w:cs="Times New Roman"/>
          <w:color w:val="000000"/>
          <w:sz w:val="22"/>
          <w:szCs w:val="22"/>
        </w:rPr>
        <w:t xml:space="preserve">Manning, C. D., Raghavan, P., and Schütze, H. (2008). Introduction to Information Retrieval. Cambridge University Press. Chapters 6 and 13.</w:t>
      </w:r>
    </w:p>
    <w:p>
      <w:pPr>
        <w:ind w:left="480" w:hanging="480"/>
        <w:spacing w:before="0" w:after="80" w:line="276" w:lineRule="auto"/>
        <w:jc w:val="both"/>
      </w:pPr>
      <w:r>
        <w:rPr>
          <w:rFonts w:ascii="Times New Roman" w:hAnsi="Times New Roman" w:cs="Times New Roman"/>
          <w:b/>
          <w:color w:val="000000"/>
          <w:sz w:val="22"/>
          <w:szCs w:val="22"/>
        </w:rPr>
        <w:t xml:space="preserve">5.  </w:t>
      </w:r>
      <w:r>
        <w:rPr>
          <w:rFonts w:ascii="Times New Roman" w:hAnsi="Times New Roman" w:cs="Times New Roman"/>
          <w:color w:val="000000"/>
          <w:sz w:val="22"/>
          <w:szCs w:val="22"/>
        </w:rPr>
        <w:t xml:space="preserve">Jurafsky, D., and Martin, J. H. (2024). Speech and Language Processing, 3rd edition draft. Chapters 4 and 15.</w:t>
      </w:r>
    </w:p>
    <w:p>
      <w:pPr>
        <w:ind w:left="480" w:hanging="480"/>
        <w:spacing w:before="0" w:after="80" w:line="276" w:lineRule="auto"/>
        <w:jc w:val="both"/>
      </w:pPr>
      <w:r>
        <w:rPr>
          <w:rFonts w:ascii="Times New Roman" w:hAnsi="Times New Roman" w:cs="Times New Roman"/>
          <w:b/>
          <w:color w:val="000000"/>
          <w:sz w:val="22"/>
          <w:szCs w:val="22"/>
        </w:rPr>
        <w:t xml:space="preserve">6.  </w:t>
      </w:r>
      <w:r>
        <w:rPr>
          <w:rFonts w:ascii="Times New Roman" w:hAnsi="Times New Roman" w:cs="Times New Roman"/>
          <w:color w:val="000000"/>
          <w:sz w:val="22"/>
          <w:szCs w:val="22"/>
        </w:rPr>
        <w:t xml:space="preserve">Porter, M. F. (1980). “An Algorithm for Suffix Stripping.” Program: Electronic Library and Information Systems, 14(3), pp. 130–137.</w:t>
      </w:r>
    </w:p>
    <w:p>
      <w:pPr>
        <w:ind w:left="480" w:hanging="480"/>
        <w:spacing w:before="0" w:after="80" w:line="276" w:lineRule="auto"/>
        <w:jc w:val="both"/>
      </w:pPr>
      <w:r>
        <w:rPr>
          <w:rFonts w:ascii="Times New Roman" w:hAnsi="Times New Roman" w:cs="Times New Roman"/>
          <w:b/>
          <w:color w:val="000000"/>
          <w:sz w:val="22"/>
          <w:szCs w:val="22"/>
        </w:rPr>
        <w:t xml:space="preserve">7.  </w:t>
      </w:r>
      <w:r>
        <w:rPr>
          <w:rFonts w:ascii="Times New Roman" w:hAnsi="Times New Roman" w:cs="Times New Roman"/>
          <w:color w:val="000000"/>
          <w:sz w:val="22"/>
          <w:szCs w:val="22"/>
        </w:rPr>
        <w:t xml:space="preserve">McCallum, A., and Nigam, K. (1998). “A Comparison of Event Models for Naive Bayes Text Classification.” AAAI-98 Workshop on Learning for Text Categorization.</w:t>
      </w:r>
    </w:p>
    <w:p>
      <w:pPr>
        <w:ind w:left="480" w:hanging="480"/>
        <w:spacing w:before="0" w:after="80" w:line="276" w:lineRule="auto"/>
        <w:jc w:val="both"/>
      </w:pPr>
      <w:r>
        <w:rPr>
          <w:rFonts w:ascii="Times New Roman" w:hAnsi="Times New Roman" w:cs="Times New Roman"/>
          <w:b/>
          <w:color w:val="000000"/>
          <w:sz w:val="22"/>
          <w:szCs w:val="22"/>
        </w:rPr>
        <w:t xml:space="preserve">8.  </w:t>
      </w:r>
      <w:r>
        <w:rPr>
          <w:rFonts w:ascii="Times New Roman" w:hAnsi="Times New Roman" w:cs="Times New Roman"/>
          <w:color w:val="000000"/>
          <w:sz w:val="22"/>
          <w:szCs w:val="22"/>
        </w:rPr>
        <w:t xml:space="preserve">Pedregosa, F., et al. (2011). “Scikit-learn: Machine Learning in Python.” Journal of Machine Learning Research, 12, pp. 2825–2830. Consulted for the smoothed IDF and Complement Naive Bayes formulations.</w:t>
      </w:r>
    </w:p>
    <w:p>
      <w:pPr>
        <w:ind w:left="480" w:hanging="480"/>
        <w:spacing w:before="0" w:after="80" w:line="276" w:lineRule="auto"/>
        <w:jc w:val="both"/>
      </w:pPr>
      <w:r>
        <w:rPr>
          <w:rFonts w:ascii="Times New Roman" w:hAnsi="Times New Roman" w:cs="Times New Roman"/>
          <w:b/>
          <w:color w:val="000000"/>
          <w:sz w:val="22"/>
          <w:szCs w:val="22"/>
        </w:rPr>
        <w:t xml:space="preserve">9.  </w:t>
      </w:r>
      <w:r>
        <w:rPr>
          <w:rFonts w:ascii="Times New Roman" w:hAnsi="Times New Roman" w:cs="Times New Roman"/>
          <w:color w:val="000000"/>
          <w:sz w:val="22"/>
          <w:szCs w:val="22"/>
        </w:rPr>
        <w:t xml:space="preserve">Platt, J. (1999). “Probabilistic Outputs for Support Vector Machines and Comparisons to Regularized Likelihood Methods.” Advances in Large Margin Classifiers, pp. 61–74.</w:t>
      </w:r>
    </w:p>
    <w:p>
      <w:pPr>
        <w:ind w:left="480" w:hanging="480"/>
        <w:spacing w:before="0" w:after="80" w:line="276" w:lineRule="auto"/>
        <w:jc w:val="both"/>
      </w:pPr>
      <w:r>
        <w:rPr>
          <w:rFonts w:ascii="Times New Roman" w:hAnsi="Times New Roman" w:cs="Times New Roman"/>
          <w:b/>
          <w:color w:val="000000"/>
          <w:sz w:val="22"/>
          <w:szCs w:val="22"/>
        </w:rPr>
        <w:t xml:space="preserve">10.  </w:t>
      </w:r>
      <w:r>
        <w:rPr>
          <w:rFonts w:ascii="Times New Roman" w:hAnsi="Times New Roman" w:cs="Times New Roman"/>
          <w:color w:val="000000"/>
          <w:sz w:val="22"/>
          <w:szCs w:val="22"/>
        </w:rPr>
        <w:t xml:space="preserve">Codd, E. F. (1970). “A Relational Model of Data for Large Shared Data Banks.” Communications of the ACM, 13(6), pp. 377–387.</w:t>
      </w:r>
    </w:p>
    <w:p>
      <w:r>
        <w:br w:type="page"/>
      </w:r>
    </w:p>
    <w:p>
      <w:pPr>
        <w:pBdr>
          <w:bottom w:val="single" w:sz="8" w:space="2" w:color="1F4E79"/>
        </w:pBdr>
        <w:spacing w:before="360" w:after="180" w:line="276" w:lineRule="auto"/>
        <w:jc w:val="left"/>
        <w:keepNext/>
      </w:pPr>
      <w:r>
        <w:rPr>
          <w:rFonts w:ascii="Times New Roman" w:hAnsi="Times New Roman" w:cs="Times New Roman"/>
          <w:b/>
          <w:color w:val="1F4E79"/>
          <w:sz w:val="32"/>
          <w:szCs w:val="32"/>
        </w:rPr>
        <w:t xml:space="preserve">Appendix A: Selected Implementation Extracts</w:t>
      </w:r>
    </w:p>
    <w:p>
      <w:pPr>
        <w:spacing w:before="280" w:after="120" w:line="276" w:lineRule="auto"/>
        <w:jc w:val="left"/>
        <w:keepNext/>
      </w:pPr>
      <w:r>
        <w:rPr>
          <w:rFonts w:ascii="Times New Roman" w:hAnsi="Times New Roman" w:cs="Times New Roman"/>
          <w:b/>
          <w:color w:val="1F4E79"/>
          <w:sz w:val="26"/>
          <w:szCs w:val="26"/>
        </w:rPr>
        <w:t xml:space="preserve">A.1 Damerau–Levenshtein Distance with Early Termination</w:t>
      </w:r>
    </w:p>
    <w:p>
      <w:pPr>
        <w:shd w:val="clear" w:color="auto" w:fill="F2F2F2"/>
        <w:ind w:left="180" w:hanging="0"/>
        <w:spacing w:before="0" w:after="0" w:line="240" w:lineRule="auto"/>
        <w:jc w:val="left"/>
      </w:pPr>
      <w:r>
        <w:rPr>
          <w:rFonts w:ascii="Consolas" w:hAnsi="Consolas" w:cs="Consolas"/>
          <w:color w:val="000000"/>
          <w:sz w:val="17"/>
          <w:szCs w:val="17"/>
        </w:rPr>
        <w:t xml:space="preserve">const editDistance = (a, b, max = 2) =&gt; {</w:t>
      </w:r>
    </w:p>
    <w:p>
      <w:pPr>
        <w:shd w:val="clear" w:color="auto" w:fill="F2F2F2"/>
        <w:ind w:left="180" w:hanging="0"/>
        <w:spacing w:before="0" w:after="0" w:line="240" w:lineRule="auto"/>
        <w:jc w:val="left"/>
      </w:pPr>
      <w:r>
        <w:rPr>
          <w:rFonts w:ascii="Consolas" w:hAnsi="Consolas" w:cs="Consolas"/>
          <w:color w:val="000000"/>
          <w:sz w:val="17"/>
          <w:szCs w:val="17"/>
        </w:rPr>
        <w:t xml:space="preserve">  if (a === b) return 0;</w:t>
      </w:r>
    </w:p>
    <w:p>
      <w:pPr>
        <w:shd w:val="clear" w:color="auto" w:fill="F2F2F2"/>
        <w:ind w:left="180" w:hanging="0"/>
        <w:spacing w:before="0" w:after="0" w:line="240" w:lineRule="auto"/>
        <w:jc w:val="left"/>
      </w:pPr>
      <w:r>
        <w:rPr>
          <w:rFonts w:ascii="Consolas" w:hAnsi="Consolas" w:cs="Consolas"/>
          <w:color w:val="000000"/>
          <w:sz w:val="17"/>
          <w:szCs w:val="17"/>
        </w:rPr>
        <w:t xml:space="preserve">  if (Math.abs(a.length - b.length) &gt; max) return max + 1;</w:t>
      </w:r>
    </w:p>
    <w:p>
      <w:pPr>
        <w:shd w:val="clear" w:color="auto" w:fill="F2F2F2"/>
        <w:ind w:left="180" w:hanging="0"/>
        <w:spacing w:before="0" w:after="0" w:line="240" w:lineRule="auto"/>
        <w:jc w:val="left"/>
      </w:pPr>
      <w:r>
        <w:rPr>
          <w:rFonts w:ascii="Consolas" w:hAnsi="Consolas" w:cs="Consolas"/>
          <w:color w:val="000000"/>
          <w:sz w:val="17"/>
          <w:szCs w:val="17"/>
        </w:rPr>
        <w:t xml:space="preserve">  let prev2 = null;</w:t>
      </w:r>
    </w:p>
    <w:p>
      <w:pPr>
        <w:shd w:val="clear" w:color="auto" w:fill="F2F2F2"/>
        <w:ind w:left="180" w:hanging="0"/>
        <w:spacing w:before="0" w:after="0" w:line="240" w:lineRule="auto"/>
        <w:jc w:val="left"/>
      </w:pPr>
      <w:r>
        <w:rPr>
          <w:rFonts w:ascii="Consolas" w:hAnsi="Consolas" w:cs="Consolas"/>
          <w:color w:val="000000"/>
          <w:sz w:val="17"/>
          <w:szCs w:val="17"/>
        </w:rPr>
        <w:t xml:space="preserve">  let prev = Array.from({ length: b.length + 1 }, (_, i) =&gt; i);</w:t>
      </w:r>
    </w:p>
    <w:p>
      <w:pPr>
        <w:shd w:val="clear" w:color="auto" w:fill="F2F2F2"/>
        <w:ind w:left="180" w:hanging="0"/>
        <w:spacing w:before="0" w:after="0" w:line="240" w:lineRule="auto"/>
        <w:jc w:val="left"/>
      </w:pPr>
      <w:r>
        <w:rPr>
          <w:rFonts w:ascii="Consolas" w:hAnsi="Consolas" w:cs="Consolas"/>
          <w:color w:val="000000"/>
          <w:sz w:val="17"/>
          <w:szCs w:val="17"/>
        </w:rPr>
        <w:t xml:space="preserve">  for (let i = 1; i &lt;= a.length; i++) {</w:t>
      </w:r>
    </w:p>
    <w:p>
      <w:pPr>
        <w:shd w:val="clear" w:color="auto" w:fill="F2F2F2"/>
        <w:ind w:left="180" w:hanging="0"/>
        <w:spacing w:before="0" w:after="0" w:line="240" w:lineRule="auto"/>
        <w:jc w:val="left"/>
      </w:pPr>
      <w:r>
        <w:rPr>
          <w:rFonts w:ascii="Consolas" w:hAnsi="Consolas" w:cs="Consolas"/>
          <w:color w:val="000000"/>
          <w:sz w:val="17"/>
          <w:szCs w:val="17"/>
        </w:rPr>
        <w:t xml:space="preserve">    const cur = [i];</w:t>
      </w:r>
    </w:p>
    <w:p>
      <w:pPr>
        <w:shd w:val="clear" w:color="auto" w:fill="F2F2F2"/>
        <w:ind w:left="180" w:hanging="0"/>
        <w:spacing w:before="0" w:after="0" w:line="240" w:lineRule="auto"/>
        <w:jc w:val="left"/>
      </w:pPr>
      <w:r>
        <w:rPr>
          <w:rFonts w:ascii="Consolas" w:hAnsi="Consolas" w:cs="Consolas"/>
          <w:color w:val="000000"/>
          <w:sz w:val="17"/>
          <w:szCs w:val="17"/>
        </w:rPr>
        <w:t xml:space="preserve">    let rowBest = i;</w:t>
      </w:r>
    </w:p>
    <w:p>
      <w:pPr>
        <w:shd w:val="clear" w:color="auto" w:fill="F2F2F2"/>
        <w:ind w:left="180" w:hanging="0"/>
        <w:spacing w:before="0" w:after="0" w:line="240" w:lineRule="auto"/>
        <w:jc w:val="left"/>
      </w:pPr>
      <w:r>
        <w:rPr>
          <w:rFonts w:ascii="Consolas" w:hAnsi="Consolas" w:cs="Consolas"/>
          <w:color w:val="000000"/>
          <w:sz w:val="17"/>
          <w:szCs w:val="17"/>
        </w:rPr>
        <w:t xml:space="preserve">    for (let j = 1; j &lt;= b.length; j++) {</w:t>
      </w:r>
    </w:p>
    <w:p>
      <w:pPr>
        <w:shd w:val="clear" w:color="auto" w:fill="F2F2F2"/>
        <w:ind w:left="180" w:hanging="0"/>
        <w:spacing w:before="0" w:after="0" w:line="240" w:lineRule="auto"/>
        <w:jc w:val="left"/>
      </w:pPr>
      <w:r>
        <w:rPr>
          <w:rFonts w:ascii="Consolas" w:hAnsi="Consolas" w:cs="Consolas"/>
          <w:color w:val="000000"/>
          <w:sz w:val="17"/>
          <w:szCs w:val="17"/>
        </w:rPr>
        <w:t xml:space="preserve">      const cost = a[i - 1] === b[j - 1] ? 0 : 1;</w:t>
      </w:r>
    </w:p>
    <w:p>
      <w:pPr>
        <w:shd w:val="clear" w:color="auto" w:fill="F2F2F2"/>
        <w:ind w:left="180" w:hanging="0"/>
        <w:spacing w:before="0" w:after="0" w:line="240" w:lineRule="auto"/>
        <w:jc w:val="left"/>
      </w:pPr>
      <w:r>
        <w:rPr>
          <w:rFonts w:ascii="Consolas" w:hAnsi="Consolas" w:cs="Consolas"/>
          <w:color w:val="000000"/>
          <w:sz w:val="17"/>
          <w:szCs w:val="17"/>
        </w:rPr>
        <w:t xml:space="preserve">      let d = Math.min(prev[j] + 1, cur[j - 1] + 1, prev[j - 1] + cost);</w:t>
      </w:r>
    </w:p>
    <w:p>
      <w:pPr>
        <w:shd w:val="clear" w:color="auto" w:fill="F2F2F2"/>
        <w:ind w:left="180" w:hanging="0"/>
        <w:spacing w:before="0" w:after="0" w:line="240" w:lineRule="auto"/>
        <w:jc w:val="left"/>
      </w:pPr>
      <w:r>
        <w:rPr>
          <w:rFonts w:ascii="Consolas" w:hAnsi="Consolas" w:cs="Consolas"/>
          <w:color w:val="000000"/>
          <w:sz w:val="17"/>
          <w:szCs w:val="17"/>
        </w:rPr>
        <w:t xml:space="preserve">      if (i &gt; 1 &amp;&amp; j &gt; 1 &amp;&amp; a[i-1] === b[j-2] &amp;&amp; a[i-2] === b[j-1]) {</w:t>
      </w:r>
    </w:p>
    <w:p>
      <w:pPr>
        <w:shd w:val="clear" w:color="auto" w:fill="F2F2F2"/>
        <w:ind w:left="180" w:hanging="0"/>
        <w:spacing w:before="0" w:after="0" w:line="240" w:lineRule="auto"/>
        <w:jc w:val="left"/>
      </w:pPr>
      <w:r>
        <w:rPr>
          <w:rFonts w:ascii="Consolas" w:hAnsi="Consolas" w:cs="Consolas"/>
          <w:color w:val="000000"/>
          <w:sz w:val="17"/>
          <w:szCs w:val="17"/>
        </w:rPr>
        <w:t xml:space="preserve">        d = Math.min(d, prev2[j - 2] + 1);      // adjacent transposition</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cur[j] = d;</w:t>
      </w:r>
    </w:p>
    <w:p>
      <w:pPr>
        <w:shd w:val="clear" w:color="auto" w:fill="F2F2F2"/>
        <w:ind w:left="180" w:hanging="0"/>
        <w:spacing w:before="0" w:after="0" w:line="240" w:lineRule="auto"/>
        <w:jc w:val="left"/>
      </w:pPr>
      <w:r>
        <w:rPr>
          <w:rFonts w:ascii="Consolas" w:hAnsi="Consolas" w:cs="Consolas"/>
          <w:color w:val="000000"/>
          <w:sz w:val="17"/>
          <w:szCs w:val="17"/>
        </w:rPr>
        <w:t xml:space="preserve">      if (d &lt; rowBest) rowBest = 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if (rowBest &gt; max) return max + 1;          // whole row exceeds budget</w:t>
      </w:r>
    </w:p>
    <w:p>
      <w:pPr>
        <w:shd w:val="clear" w:color="auto" w:fill="F2F2F2"/>
        <w:ind w:left="180" w:hanging="0"/>
        <w:spacing w:before="0" w:after="0" w:line="240" w:lineRule="auto"/>
        <w:jc w:val="left"/>
      </w:pPr>
      <w:r>
        <w:rPr>
          <w:rFonts w:ascii="Consolas" w:hAnsi="Consolas" w:cs="Consolas"/>
          <w:color w:val="000000"/>
          <w:sz w:val="17"/>
          <w:szCs w:val="17"/>
        </w:rPr>
        <w:t xml:space="preserve">    prev2 = prev;</w:t>
      </w:r>
    </w:p>
    <w:p>
      <w:pPr>
        <w:shd w:val="clear" w:color="auto" w:fill="F2F2F2"/>
        <w:ind w:left="180" w:hanging="0"/>
        <w:spacing w:before="0" w:after="0" w:line="240" w:lineRule="auto"/>
        <w:jc w:val="left"/>
      </w:pPr>
      <w:r>
        <w:rPr>
          <w:rFonts w:ascii="Consolas" w:hAnsi="Consolas" w:cs="Consolas"/>
          <w:color w:val="000000"/>
          <w:sz w:val="17"/>
          <w:szCs w:val="17"/>
        </w:rPr>
        <w:t xml:space="preserve">    prev = cur;</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return prev[b.length];</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A.2 Multinomial Naive Bayes — Parameter Estimation</w:t>
      </w:r>
    </w:p>
    <w:p>
      <w:pPr>
        <w:shd w:val="clear" w:color="auto" w:fill="F2F2F2"/>
        <w:ind w:left="180" w:hanging="0"/>
        <w:spacing w:before="0" w:after="0" w:line="240" w:lineRule="auto"/>
        <w:jc w:val="left"/>
      </w:pPr>
      <w:r>
        <w:rPr>
          <w:rFonts w:ascii="Consolas" w:hAnsi="Consolas" w:cs="Consolas"/>
          <w:color w:val="000000"/>
          <w:sz w:val="17"/>
          <w:szCs w:val="17"/>
        </w:rPr>
        <w:t xml:space="preserve">fit(vectors, labels, nFeatures) {</w:t>
      </w:r>
    </w:p>
    <w:p>
      <w:pPr>
        <w:shd w:val="clear" w:color="auto" w:fill="F2F2F2"/>
        <w:ind w:left="180" w:hanging="0"/>
        <w:spacing w:before="0" w:after="0" w:line="240" w:lineRule="auto"/>
        <w:jc w:val="left"/>
      </w:pPr>
      <w:r>
        <w:rPr>
          <w:rFonts w:ascii="Consolas" w:hAnsi="Consolas" w:cs="Consolas"/>
          <w:color w:val="000000"/>
          <w:sz w:val="17"/>
          <w:szCs w:val="17"/>
        </w:rPr>
        <w:t xml:space="preserve">  this.classes = [...new Set(labels)].sort();</w:t>
      </w:r>
    </w:p>
    <w:p>
      <w:pPr>
        <w:shd w:val="clear" w:color="auto" w:fill="F2F2F2"/>
        <w:ind w:left="180" w:hanging="0"/>
        <w:spacing w:before="0" w:after="0" w:line="240" w:lineRule="auto"/>
        <w:jc w:val="left"/>
      </w:pPr>
      <w:r>
        <w:rPr>
          <w:rFonts w:ascii="Consolas" w:hAnsi="Consolas" w:cs="Consolas"/>
          <w:color w:val="000000"/>
          <w:sz w:val="17"/>
          <w:szCs w:val="17"/>
        </w:rPr>
        <w:t xml:space="preserve">  const classIdx = new Map(this.classes.map((c, i) =&gt; [c, i]));</w:t>
      </w:r>
    </w:p>
    <w:p>
      <w:pPr>
        <w:shd w:val="clear" w:color="auto" w:fill="F2F2F2"/>
        <w:ind w:left="180" w:hanging="0"/>
        <w:spacing w:before="0" w:after="0" w:line="240" w:lineRule="auto"/>
        <w:jc w:val="left"/>
      </w:pPr>
      <w:r>
        <w:rPr>
          <w:rFonts w:ascii="Consolas" w:hAnsi="Consolas" w:cs="Consolas"/>
          <w:color w:val="000000"/>
          <w:sz w:val="17"/>
          <w:szCs w:val="17"/>
        </w:rPr>
        <w:t xml:space="preserve">  const counts = new Array(this.classes.length).fill(0);</w:t>
      </w:r>
    </w:p>
    <w:p>
      <w:pPr>
        <w:shd w:val="clear" w:color="auto" w:fill="F2F2F2"/>
        <w:ind w:left="180" w:hanging="0"/>
        <w:spacing w:before="0" w:after="0" w:line="240" w:lineRule="auto"/>
        <w:jc w:val="left"/>
      </w:pPr>
      <w:r>
        <w:rPr>
          <w:rFonts w:ascii="Consolas" w:hAnsi="Consolas" w:cs="Consolas"/>
          <w:color w:val="000000"/>
          <w:sz w:val="17"/>
          <w:szCs w:val="17"/>
        </w:rPr>
        <w:t xml:space="preserve">  const featureSum = this.classes.map(() =&gt; new Float64Array(nFeatures));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vectors.forEach((vec, i) =&gt; {</w:t>
      </w:r>
    </w:p>
    <w:p>
      <w:pPr>
        <w:shd w:val="clear" w:color="auto" w:fill="F2F2F2"/>
        <w:ind w:left="180" w:hanging="0"/>
        <w:spacing w:before="0" w:after="0" w:line="240" w:lineRule="auto"/>
        <w:jc w:val="left"/>
      </w:pPr>
      <w:r>
        <w:rPr>
          <w:rFonts w:ascii="Consolas" w:hAnsi="Consolas" w:cs="Consolas"/>
          <w:color w:val="000000"/>
          <w:sz w:val="17"/>
          <w:szCs w:val="17"/>
        </w:rPr>
        <w:t xml:space="preserve">    const ci = classIdx.get(labels[i]);</w:t>
      </w:r>
    </w:p>
    <w:p>
      <w:pPr>
        <w:shd w:val="clear" w:color="auto" w:fill="F2F2F2"/>
        <w:ind w:left="180" w:hanging="0"/>
        <w:spacing w:before="0" w:after="0" w:line="240" w:lineRule="auto"/>
        <w:jc w:val="left"/>
      </w:pPr>
      <w:r>
        <w:rPr>
          <w:rFonts w:ascii="Consolas" w:hAnsi="Consolas" w:cs="Consolas"/>
          <w:color w:val="000000"/>
          <w:sz w:val="17"/>
          <w:szCs w:val="17"/>
        </w:rPr>
        <w:t xml:space="preserve">    counts[ci]++;</w:t>
      </w:r>
    </w:p>
    <w:p>
      <w:pPr>
        <w:shd w:val="clear" w:color="auto" w:fill="F2F2F2"/>
        <w:ind w:left="180" w:hanging="0"/>
        <w:spacing w:before="0" w:after="0" w:line="240" w:lineRule="auto"/>
        <w:jc w:val="left"/>
      </w:pPr>
      <w:r>
        <w:rPr>
          <w:rFonts w:ascii="Consolas" w:hAnsi="Consolas" w:cs="Consolas"/>
          <w:color w:val="000000"/>
          <w:sz w:val="17"/>
          <w:szCs w:val="17"/>
        </w:rPr>
        <w:t xml:space="preserve">    vec.forEach((w, fi) =&gt; { featureSum[ci][fi] += w;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this.logPrior = counts.map(c =&gt; Math.log(c / labels.length));</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this.logLikelihood = featureSum.map(row =&gt; {</w:t>
      </w:r>
    </w:p>
    <w:p>
      <w:pPr>
        <w:shd w:val="clear" w:color="auto" w:fill="F2F2F2"/>
        <w:ind w:left="180" w:hanging="0"/>
        <w:spacing w:before="0" w:after="0" w:line="240" w:lineRule="auto"/>
        <w:jc w:val="left"/>
      </w:pPr>
      <w:r>
        <w:rPr>
          <w:rFonts w:ascii="Consolas" w:hAnsi="Consolas" w:cs="Consolas"/>
          <w:color w:val="000000"/>
          <w:sz w:val="17"/>
          <w:szCs w:val="17"/>
        </w:rPr>
        <w:t xml:space="preserve">    let total = 0;</w:t>
      </w:r>
    </w:p>
    <w:p>
      <w:pPr>
        <w:shd w:val="clear" w:color="auto" w:fill="F2F2F2"/>
        <w:ind w:left="180" w:hanging="0"/>
        <w:spacing w:before="0" w:after="0" w:line="240" w:lineRule="auto"/>
        <w:jc w:val="left"/>
      </w:pPr>
      <w:r>
        <w:rPr>
          <w:rFonts w:ascii="Consolas" w:hAnsi="Consolas" w:cs="Consolas"/>
          <w:color w:val="000000"/>
          <w:sz w:val="17"/>
          <w:szCs w:val="17"/>
        </w:rPr>
        <w:t xml:space="preserve">    for (let i = 0; i &lt; nFeatures; i++) total += row[i];</w:t>
      </w:r>
    </w:p>
    <w:p>
      <w:pPr>
        <w:shd w:val="clear" w:color="auto" w:fill="F2F2F2"/>
        <w:ind w:left="180" w:hanging="0"/>
        <w:spacing w:before="0" w:after="0" w:line="240" w:lineRule="auto"/>
        <w:jc w:val="left"/>
      </w:pPr>
      <w:r>
        <w:rPr>
          <w:rFonts w:ascii="Consolas" w:hAnsi="Consolas" w:cs="Consolas"/>
          <w:color w:val="000000"/>
          <w:sz w:val="17"/>
          <w:szCs w:val="17"/>
        </w:rPr>
        <w:t xml:space="preserve">    const denom = total + this.alpha * nFeatures;   // Lidstone smoothing</w:t>
      </w:r>
    </w:p>
    <w:p>
      <w:pPr>
        <w:shd w:val="clear" w:color="auto" w:fill="F2F2F2"/>
        <w:ind w:left="180" w:hanging="0"/>
        <w:spacing w:before="0" w:after="0" w:line="240" w:lineRule="auto"/>
        <w:jc w:val="left"/>
      </w:pPr>
      <w:r>
        <w:rPr>
          <w:rFonts w:ascii="Consolas" w:hAnsi="Consolas" w:cs="Consolas"/>
          <w:color w:val="000000"/>
          <w:sz w:val="17"/>
          <w:szCs w:val="17"/>
        </w:rPr>
        <w:t xml:space="preserve">    const out = new Float64Array(nFeatures);</w:t>
      </w:r>
    </w:p>
    <w:p>
      <w:pPr>
        <w:shd w:val="clear" w:color="auto" w:fill="F2F2F2"/>
        <w:ind w:left="180" w:hanging="0"/>
        <w:spacing w:before="0" w:after="0" w:line="240" w:lineRule="auto"/>
        <w:jc w:val="left"/>
      </w:pPr>
      <w:r>
        <w:rPr>
          <w:rFonts w:ascii="Consolas" w:hAnsi="Consolas" w:cs="Consolas"/>
          <w:color w:val="000000"/>
          <w:sz w:val="17"/>
          <w:szCs w:val="17"/>
        </w:rPr>
        <w:t xml:space="preserve">    for (let i = 0; i &lt; nFeatures; i++)</w:t>
      </w:r>
    </w:p>
    <w:p>
      <w:pPr>
        <w:shd w:val="clear" w:color="auto" w:fill="F2F2F2"/>
        <w:ind w:left="180" w:hanging="0"/>
        <w:spacing w:before="0" w:after="0" w:line="240" w:lineRule="auto"/>
        <w:jc w:val="left"/>
      </w:pPr>
      <w:r>
        <w:rPr>
          <w:rFonts w:ascii="Consolas" w:hAnsi="Consolas" w:cs="Consolas"/>
          <w:color w:val="000000"/>
          <w:sz w:val="17"/>
          <w:szCs w:val="17"/>
        </w:rPr>
        <w:t xml:space="preserve">      out[i] = Math.log((row[i] + this.alpha) / denom);</w:t>
      </w:r>
    </w:p>
    <w:p>
      <w:pPr>
        <w:shd w:val="clear" w:color="auto" w:fill="F2F2F2"/>
        <w:ind w:left="180" w:hanging="0"/>
        <w:spacing w:before="0" w:after="0" w:line="240" w:lineRule="auto"/>
        <w:jc w:val="left"/>
      </w:pPr>
      <w:r>
        <w:rPr>
          <w:rFonts w:ascii="Consolas" w:hAnsi="Consolas" w:cs="Consolas"/>
          <w:color w:val="000000"/>
          <w:sz w:val="17"/>
          <w:szCs w:val="17"/>
        </w:rPr>
        <w:t xml:space="preserve">    return out;</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return this;</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A.3 Numerically Stable Posterior</w:t>
      </w:r>
    </w:p>
    <w:p>
      <w:pPr>
        <w:shd w:val="clear" w:color="auto" w:fill="F2F2F2"/>
        <w:ind w:left="180" w:hanging="0"/>
        <w:spacing w:before="0" w:after="0" w:line="240" w:lineRule="auto"/>
        <w:jc w:val="left"/>
      </w:pPr>
      <w:r>
        <w:rPr>
          <w:rFonts w:ascii="Consolas" w:hAnsi="Consolas" w:cs="Consolas"/>
          <w:color w:val="000000"/>
          <w:sz w:val="17"/>
          <w:szCs w:val="17"/>
        </w:rPr>
        <w:t xml:space="preserve">predictProba(vec) {</w:t>
      </w:r>
    </w:p>
    <w:p>
      <w:pPr>
        <w:shd w:val="clear" w:color="auto" w:fill="F2F2F2"/>
        <w:ind w:left="180" w:hanging="0"/>
        <w:spacing w:before="0" w:after="0" w:line="240" w:lineRule="auto"/>
        <w:jc w:val="left"/>
      </w:pPr>
      <w:r>
        <w:rPr>
          <w:rFonts w:ascii="Consolas" w:hAnsi="Consolas" w:cs="Consolas"/>
          <w:color w:val="000000"/>
          <w:sz w:val="17"/>
          <w:szCs w:val="17"/>
        </w:rPr>
        <w:t xml:space="preserve">  const scores = this.decisionFunction(vec);</w:t>
      </w:r>
    </w:p>
    <w:p>
      <w:pPr>
        <w:shd w:val="clear" w:color="auto" w:fill="F2F2F2"/>
        <w:ind w:left="180" w:hanging="0"/>
        <w:spacing w:before="0" w:after="0" w:line="240" w:lineRule="auto"/>
        <w:jc w:val="left"/>
      </w:pPr>
      <w:r>
        <w:rPr>
          <w:rFonts w:ascii="Consolas" w:hAnsi="Consolas" w:cs="Consolas"/>
          <w:color w:val="000000"/>
          <w:sz w:val="17"/>
          <w:szCs w:val="17"/>
        </w:rPr>
        <w:t xml:space="preserve">  const max = Math.max(...scores);</w:t>
      </w:r>
    </w:p>
    <w:p>
      <w:pPr>
        <w:shd w:val="clear" w:color="auto" w:fill="F2F2F2"/>
        <w:ind w:left="180" w:hanging="0"/>
        <w:spacing w:before="0" w:after="0" w:line="240" w:lineRule="auto"/>
        <w:jc w:val="left"/>
      </w:pPr>
      <w:r>
        <w:rPr>
          <w:rFonts w:ascii="Consolas" w:hAnsi="Consolas" w:cs="Consolas"/>
          <w:color w:val="000000"/>
          <w:sz w:val="17"/>
          <w:szCs w:val="17"/>
        </w:rPr>
        <w:t xml:space="preserve">  const exp = scores.map(s =&gt; Math.exp(s - max));  // shift prevents overflow</w:t>
      </w:r>
    </w:p>
    <w:p>
      <w:pPr>
        <w:shd w:val="clear" w:color="auto" w:fill="F2F2F2"/>
        <w:ind w:left="180" w:hanging="0"/>
        <w:spacing w:before="0" w:after="0" w:line="240" w:lineRule="auto"/>
        <w:jc w:val="left"/>
      </w:pPr>
      <w:r>
        <w:rPr>
          <w:rFonts w:ascii="Consolas" w:hAnsi="Consolas" w:cs="Consolas"/>
          <w:color w:val="000000"/>
          <w:sz w:val="17"/>
          <w:szCs w:val="17"/>
        </w:rPr>
        <w:t xml:space="preserve">  const sum = exp.reduce((a, b) =&gt; a + b, 0);</w:t>
      </w:r>
    </w:p>
    <w:p>
      <w:pPr>
        <w:shd w:val="clear" w:color="auto" w:fill="F2F2F2"/>
        <w:ind w:left="180" w:hanging="0"/>
        <w:spacing w:before="0" w:after="0" w:line="240" w:lineRule="auto"/>
        <w:jc w:val="left"/>
      </w:pPr>
      <w:r>
        <w:rPr>
          <w:rFonts w:ascii="Consolas" w:hAnsi="Consolas" w:cs="Consolas"/>
          <w:color w:val="000000"/>
          <w:sz w:val="17"/>
          <w:szCs w:val="17"/>
        </w:rPr>
        <w:t xml:space="preserve">  return exp.map(e =&gt; e / sum);</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A.4 Partial Delivery Against Insufficient Stock</w:t>
      </w:r>
    </w:p>
    <w:p>
      <w:pPr>
        <w:shd w:val="clear" w:color="auto" w:fill="F2F2F2"/>
        <w:ind w:left="180" w:hanging="0"/>
        <w:spacing w:before="0" w:after="0" w:line="240" w:lineRule="auto"/>
        <w:jc w:val="left"/>
      </w:pPr>
      <w:r>
        <w:rPr>
          <w:rFonts w:ascii="Consolas" w:hAnsi="Consolas" w:cs="Consolas"/>
          <w:color w:val="000000"/>
          <w:sz w:val="17"/>
          <w:szCs w:val="17"/>
        </w:rPr>
        <w:t xml:space="preserve">const deliverPartial = async (id, deliverQty) =&gt; {</w:t>
      </w:r>
    </w:p>
    <w:p>
      <w:pPr>
        <w:shd w:val="clear" w:color="auto" w:fill="F2F2F2"/>
        <w:ind w:left="180" w:hanging="0"/>
        <w:spacing w:before="0" w:after="0" w:line="240" w:lineRule="auto"/>
        <w:jc w:val="left"/>
      </w:pPr>
      <w:r>
        <w:rPr>
          <w:rFonts w:ascii="Consolas" w:hAnsi="Consolas" w:cs="Consolas"/>
          <w:color w:val="000000"/>
          <w:sz w:val="17"/>
          <w:szCs w:val="17"/>
        </w:rPr>
        <w:t xml:space="preserve">  const order = orders.find(o =&gt; o.id === id);</w:t>
      </w:r>
    </w:p>
    <w:p>
      <w:pPr>
        <w:shd w:val="clear" w:color="auto" w:fill="F2F2F2"/>
        <w:ind w:left="180" w:hanging="0"/>
        <w:spacing w:before="0" w:after="0" w:line="240" w:lineRule="auto"/>
        <w:jc w:val="left"/>
      </w:pPr>
      <w:r>
        <w:rPr>
          <w:rFonts w:ascii="Consolas" w:hAnsi="Consolas" w:cs="Consolas"/>
          <w:color w:val="000000"/>
          <w:sz w:val="17"/>
          <w:szCs w:val="17"/>
        </w:rPr>
        <w:t xml:space="preserve">  const totalQty  = Number(order.quantity || 0);</w:t>
      </w:r>
    </w:p>
    <w:p>
      <w:pPr>
        <w:shd w:val="clear" w:color="auto" w:fill="F2F2F2"/>
        <w:ind w:left="180" w:hanging="0"/>
        <w:spacing w:before="0" w:after="0" w:line="240" w:lineRule="auto"/>
        <w:jc w:val="left"/>
      </w:pPr>
      <w:r>
        <w:rPr>
          <w:rFonts w:ascii="Consolas" w:hAnsi="Consolas" w:cs="Consolas"/>
          <w:color w:val="000000"/>
          <w:sz w:val="17"/>
          <w:szCs w:val="17"/>
        </w:rPr>
        <w:t xml:space="preserve">  const already   = Number(order.deliveredQty || 0);</w:t>
      </w:r>
    </w:p>
    <w:p>
      <w:pPr>
        <w:shd w:val="clear" w:color="auto" w:fill="F2F2F2"/>
        <w:ind w:left="180" w:hanging="0"/>
        <w:spacing w:before="0" w:after="0" w:line="240" w:lineRule="auto"/>
        <w:jc w:val="left"/>
      </w:pPr>
      <w:r>
        <w:rPr>
          <w:rFonts w:ascii="Consolas" w:hAnsi="Consolas" w:cs="Consolas"/>
          <w:color w:val="000000"/>
          <w:sz w:val="17"/>
          <w:szCs w:val="17"/>
        </w:rPr>
        <w:t xml:space="preserve">  const newDelivered = Math.min(totalQty, already + Number(deliverQty));</w:t>
      </w:r>
    </w:p>
    <w:p>
      <w:pPr>
        <w:shd w:val="clear" w:color="auto" w:fill="F2F2F2"/>
        <w:ind w:left="180" w:hanging="0"/>
        <w:spacing w:before="0" w:after="0" w:line="240" w:lineRule="auto"/>
        <w:jc w:val="left"/>
      </w:pPr>
      <w:r>
        <w:rPr>
          <w:rFonts w:ascii="Consolas" w:hAnsi="Consolas" w:cs="Consolas"/>
          <w:color w:val="000000"/>
          <w:sz w:val="17"/>
          <w:szCs w:val="17"/>
        </w:rPr>
        <w:t xml:space="preserve">  const actualNow    = newDelivered - already;</w:t>
      </w:r>
    </w:p>
    <w:p>
      <w:pPr>
        <w:shd w:val="clear" w:color="auto" w:fill="F2F2F2"/>
        <w:ind w:left="180" w:hanging="0"/>
        <w:spacing w:before="0" w:after="0" w:line="240" w:lineRule="auto"/>
        <w:jc w:val="left"/>
      </w:pPr>
      <w:r>
        <w:rPr>
          <w:rFonts w:ascii="Consolas" w:hAnsi="Consolas" w:cs="Consolas"/>
          <w:color w:val="000000"/>
          <w:sz w:val="17"/>
          <w:szCs w:val="17"/>
        </w:rPr>
        <w:t xml:space="preserve">  if (actualNow &lt;= 0) return;</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const fullyDone = newDelivered &gt;= totalQty;</w:t>
      </w:r>
    </w:p>
    <w:p>
      <w:pPr>
        <w:shd w:val="clear" w:color="auto" w:fill="F2F2F2"/>
        <w:ind w:left="180" w:hanging="0"/>
        <w:spacing w:before="0" w:after="0" w:line="240" w:lineRule="auto"/>
        <w:jc w:val="left"/>
      </w:pPr>
      <w:r>
        <w:rPr>
          <w:rFonts w:ascii="Consolas" w:hAnsi="Consolas" w:cs="Consolas"/>
          <w:color w:val="000000"/>
          <w:sz w:val="17"/>
          <w:szCs w:val="17"/>
        </w:rPr>
        <w:t xml:space="preserve">  await updateOrder(id, {</w:t>
      </w:r>
    </w:p>
    <w:p>
      <w:pPr>
        <w:shd w:val="clear" w:color="auto" w:fill="F2F2F2"/>
        <w:ind w:left="180" w:hanging="0"/>
        <w:spacing w:before="0" w:after="0" w:line="240" w:lineRule="auto"/>
        <w:jc w:val="left"/>
      </w:pPr>
      <w:r>
        <w:rPr>
          <w:rFonts w:ascii="Consolas" w:hAnsi="Consolas" w:cs="Consolas"/>
          <w:color w:val="000000"/>
          <w:sz w:val="17"/>
          <w:szCs w:val="17"/>
        </w:rPr>
        <w:t xml:space="preserve">    deliveredQty: newDelivered,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status: fullyDone ? 'Delivered' : 'Partially Delivered',</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  await deductInventoryForOrder({ ...order, quantity: actualNow });</w:t>
      </w:r>
    </w:p>
    <w:p>
      <w:pPr>
        <w:shd w:val="clear" w:color="auto" w:fill="F2F2F2"/>
        <w:ind w:left="180" w:hanging="0"/>
        <w:spacing w:before="0" w:after="0" w:line="240" w:lineRule="auto"/>
        <w:jc w:val="left"/>
      </w:pPr>
      <w:r>
        <w:rPr>
          <w:rFonts w:ascii="Consolas" w:hAnsi="Consolas" w:cs="Consolas"/>
          <w:color w:val="000000"/>
          <w:sz w:val="17"/>
          <w:szCs w:val="17"/>
        </w:rPr>
        <w:t xml:space="preserve">  if (fullyDone) await billPartyForOrder(order);</w:t>
      </w:r>
    </w:p>
    <w:p>
      <w:pPr>
        <w:shd w:val="clear" w:color="auto" w:fill="F2F2F2"/>
        <w:ind w:left="180" w:hanging="0"/>
        <w:spacing w:before="0" w:after="0" w:line="240" w:lineRule="auto"/>
        <w:jc w:val="left"/>
      </w:pPr>
      <w:r>
        <w:rPr>
          <w:rFonts w:ascii="Consolas" w:hAnsi="Consolas" w:cs="Consolas"/>
          <w:color w:val="000000"/>
          <w:sz w:val="17"/>
          <w:szCs w:val="17"/>
        </w:rPr>
        <w:t xml:space="preserve">};</w:t>
      </w:r>
    </w:p>
    <w:p>
      <w:pPr>
        <w:spacing w:before="0" w:after="140" w:line="276" w:lineRule="auto"/>
        <w:jc w:val="both"/>
      </w:pPr>
    </w:p>
    <w:p>
      <w:pPr>
        <w:spacing w:before="280" w:after="120" w:line="276" w:lineRule="auto"/>
        <w:jc w:val="left"/>
        <w:keepNext/>
      </w:pPr>
      <w:r>
        <w:rPr>
          <w:rFonts w:ascii="Times New Roman" w:hAnsi="Times New Roman" w:cs="Times New Roman"/>
          <w:b/>
          <w:color w:val="1F4E79"/>
          <w:sz w:val="26"/>
          <w:szCs w:val="26"/>
        </w:rPr>
        <w:t xml:space="preserve">A.5 Reproducing the Reported Metrics</w:t>
      </w:r>
    </w:p>
    <w:p>
      <w:pPr>
        <w:spacing w:before="0" w:after="120" w:line="276" w:lineRule="auto"/>
        <w:jc w:val="both"/>
      </w:pPr>
      <w:r>
        <w:rPr>
          <w:rFonts w:ascii="Times New Roman" w:hAnsi="Times New Roman" w:cs="Times New Roman"/>
          <w:color w:val="000000"/>
          <w:sz w:val="22"/>
          <w:szCs w:val="22"/>
        </w:rPr>
        <w:t xml:space="preserve">All figures in Chapters 6 to 8 are produced under a fixed seed (42) and are reproducible by invoking the evaluation harness:</w:t>
      </w:r>
    </w:p>
    <w:p>
      <w:pPr>
        <w:shd w:val="clear" w:color="auto" w:fill="F2F2F2"/>
        <w:ind w:left="180" w:hanging="0"/>
        <w:spacing w:before="0" w:after="0" w:line="240" w:lineRule="auto"/>
        <w:jc w:val="left"/>
      </w:pPr>
      <w:r>
        <w:rPr>
          <w:rFonts w:ascii="Consolas" w:hAnsi="Consolas" w:cs="Consolas"/>
          <w:color w:val="000000"/>
          <w:sz w:val="17"/>
          <w:szCs w:val="17"/>
        </w:rPr>
        <w:t xml:space="preserve">import { trainIntentModel } from './src/utils/ml/naiveBayes';</w:t>
      </w:r>
    </w:p>
    <w:p>
      <w:pPr>
        <w:shd w:val="clear" w:color="auto" w:fill="F2F2F2"/>
        <w:ind w:left="180" w:hanging="0"/>
        <w:spacing w:before="0" w:after="0" w:line="240" w:lineRule="auto"/>
        <w:jc w:val="left"/>
      </w:pPr>
      <w:r>
        <w:rPr>
          <w:rFonts w:ascii="Consolas" w:hAnsi="Consolas" w:cs="Consolas"/>
          <w:color w:val="000000"/>
          <w:sz w:val="17"/>
          <w:szCs w:val="17"/>
        </w:rPr>
        <w:t xml:space="preserve"> </w:t>
      </w:r>
    </w:p>
    <w:p>
      <w:pPr>
        <w:shd w:val="clear" w:color="auto" w:fill="F2F2F2"/>
        <w:ind w:left="180" w:hanging="0"/>
        <w:spacing w:before="0" w:after="0" w:line="240" w:lineRule="auto"/>
        <w:jc w:val="left"/>
      </w:pPr>
      <w:r>
        <w:rPr>
          <w:rFonts w:ascii="Consolas" w:hAnsi="Consolas" w:cs="Consolas"/>
          <w:color w:val="000000"/>
          <w:sz w:val="17"/>
          <w:szCs w:val="17"/>
        </w:rPr>
        <w:t xml:space="preserve">const result = trainIntentModel();          // seed 42, 75:25 split, 5-fold CV</w:t>
      </w:r>
    </w:p>
    <w:p>
      <w:pPr>
        <w:shd w:val="clear" w:color="auto" w:fill="F2F2F2"/>
        <w:ind w:left="180" w:hanging="0"/>
        <w:spacing w:before="0" w:after="0" w:line="240" w:lineRule="auto"/>
        <w:jc w:val="left"/>
      </w:pPr>
      <w:r>
        <w:rPr>
          <w:rFonts w:ascii="Consolas" w:hAnsi="Consolas" w:cs="Consolas"/>
          <w:color w:val="000000"/>
          <w:sz w:val="17"/>
          <w:szCs w:val="17"/>
        </w:rPr>
        <w:t xml:space="preserve">console.log(result.metrics.accuracy);       // 0.858</w:t>
      </w:r>
    </w:p>
    <w:p>
      <w:pPr>
        <w:shd w:val="clear" w:color="auto" w:fill="F2F2F2"/>
        <w:ind w:left="180" w:hanging="0"/>
        <w:spacing w:before="0" w:after="0" w:line="240" w:lineRule="auto"/>
        <w:jc w:val="left"/>
      </w:pPr>
      <w:r>
        <w:rPr>
          <w:rFonts w:ascii="Consolas" w:hAnsi="Consolas" w:cs="Consolas"/>
          <w:color w:val="000000"/>
          <w:sz w:val="17"/>
          <w:szCs w:val="17"/>
        </w:rPr>
        <w:t xml:space="preserve">console.log(result.cv.mean, result.cv.sd);  // 0.787, 0.027</w:t>
      </w:r>
    </w:p>
    <w:p>
      <w:pPr>
        <w:shd w:val="clear" w:color="auto" w:fill="F2F2F2"/>
        <w:ind w:left="180" w:hanging="0"/>
        <w:spacing w:before="0" w:after="0" w:line="240" w:lineRule="auto"/>
        <w:jc w:val="left"/>
      </w:pPr>
      <w:r>
        <w:rPr>
          <w:rFonts w:ascii="Consolas" w:hAnsi="Consolas" w:cs="Consolas"/>
          <w:color w:val="000000"/>
          <w:sz w:val="17"/>
          <w:szCs w:val="17"/>
        </w:rPr>
        <w:t xml:space="preserve">console.log(result.metrics.macroF1);        // 0.859</w:t>
      </w:r>
    </w:p>
    <w:p>
      <w:pPr>
        <w:spacing w:before="0" w:after="140" w:line="276" w:lineRule="auto"/>
        <w:jc w:val="both"/>
      </w:pPr>
    </w:p>
    <w:p>
      <w:pPr>
        <w:spacing w:before="0" w:after="120" w:line="276" w:lineRule="auto"/>
        <w:jc w:val="both"/>
      </w:pPr>
      <w:r>
        <w:rPr>
          <w:rFonts w:ascii="Times New Roman" w:hAnsi="Times New Roman" w:cs="Times New Roman"/>
          <w:color w:val="000000"/>
          <w:sz w:val="22"/>
          <w:szCs w:val="22"/>
        </w:rPr>
        <w:t xml:space="preserve">The same figures are rendered live within the application at the </w:t>
      </w:r>
      <w:r>
        <w:rPr>
          <w:rFonts w:ascii="Times New Roman" w:hAnsi="Times New Roman" w:cs="Times New Roman"/>
          <w:b/>
          <w:color w:val="000000"/>
          <w:sz w:val="22"/>
          <w:szCs w:val="22"/>
        </w:rPr>
        <w:t xml:space="preserve">ML Lab</w:t>
      </w:r>
      <w:r>
        <w:rPr>
          <w:rFonts w:ascii="Times New Roman" w:hAnsi="Times New Roman" w:cs="Times New Roman"/>
          <w:color w:val="000000"/>
          <w:sz w:val="22"/>
          <w:szCs w:val="22"/>
        </w:rPr>
        <w:t xml:space="preserve"> route, which trains the model in the browser on page load and displays headline metrics, the per-class table, the confusion matrix and the full list of misclassified test queries.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20" w:line="276"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Prismora - Project Report</dc:title>
  <cp:revision>1</cp:revision>
</cp:coreProperties>
</file>