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INTERNSHIP TASK</w:t>
      </w:r>
    </w:p>
    <w:p>
      <w:pPr>
        <w:jc w:val="center"/>
      </w:pPr>
      <w:r>
        <w:rPr>
          <w:b/>
          <w:sz w:val="46"/>
        </w:rPr>
        <w:t>Conduct Exploratory Data Analysis and Visualization Strategy</w:t>
      </w:r>
    </w:p>
    <w:p>
      <w:pPr>
        <w:jc w:val="center"/>
      </w:pPr>
      <w:r>
        <w:rPr>
          <w:sz w:val="26"/>
        </w:rPr>
        <w:br/>
        <w:t>Data Analytics Strategy – Comprehensive EDA Plan</w:t>
        <w:br/>
      </w:r>
      <w:r>
        <w:rPr>
          <w:b/>
        </w:rPr>
        <w:t>Selected Dataset: UCI Wine Quality – White Wine</w:t>
      </w:r>
      <w:r>
        <w:rPr>
          <w:i/>
        </w:rPr>
        <w:br/>
        <w:t>Prepared for internship submission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Item</w:t>
            </w:r>
          </w:p>
        </w:tc>
        <w:tc>
          <w:tcPr>
            <w:tcW w:type="dxa" w:w="5040"/>
            <w:vAlign w:val="center"/>
            <w:shd w:fill="D9EAF7"/>
          </w:tcPr>
          <w:p>
            <w:r/>
            <w:r>
              <w:rPr>
                <w:rFonts w:ascii="Arial" w:hAnsi="Arial"/>
                <w:b/>
                <w:sz w:val="19"/>
              </w:rPr>
              <w:t>Details</w:t>
            </w:r>
          </w:p>
        </w:tc>
      </w:tr>
      <w:tr>
        <w:tc>
          <w:tcPr>
            <w:tcW w:type="dxa" w:w="5040"/>
            <w:vAlign w:val="center"/>
          </w:tcPr>
          <w:p>
            <w:r/>
            <w:r>
              <w:rPr>
                <w:rFonts w:ascii="Arial" w:hAnsi="Arial"/>
                <w:b w:val="0"/>
                <w:sz w:val="19"/>
              </w:rPr>
              <w:t>Task</w:t>
            </w:r>
          </w:p>
        </w:tc>
        <w:tc>
          <w:tcPr>
            <w:tcW w:type="dxa" w:w="5040"/>
            <w:vAlign w:val="center"/>
          </w:tcPr>
          <w:p>
            <w:r/>
            <w:r>
              <w:rPr>
                <w:rFonts w:ascii="Arial" w:hAnsi="Arial"/>
                <w:b w:val="0"/>
                <w:sz w:val="19"/>
              </w:rPr>
              <w:t>Week 3 – Exploratory Data Analysis and Visualization Strategy</w:t>
            </w:r>
          </w:p>
        </w:tc>
      </w:tr>
      <w:tr>
        <w:tc>
          <w:tcPr>
            <w:tcW w:type="dxa" w:w="5040"/>
            <w:vAlign w:val="center"/>
          </w:tcPr>
          <w:p>
            <w:r/>
            <w:r>
              <w:rPr>
                <w:rFonts w:ascii="Arial" w:hAnsi="Arial"/>
                <w:b w:val="0"/>
                <w:sz w:val="19"/>
              </w:rPr>
              <w:t>Dataset</w:t>
            </w:r>
          </w:p>
        </w:tc>
        <w:tc>
          <w:tcPr>
            <w:tcW w:type="dxa" w:w="5040"/>
            <w:vAlign w:val="center"/>
          </w:tcPr>
          <w:p>
            <w:r/>
            <w:r>
              <w:rPr>
                <w:rFonts w:ascii="Arial" w:hAnsi="Arial"/>
                <w:b w:val="0"/>
                <w:sz w:val="19"/>
              </w:rPr>
              <w:t>UCI Wine Quality – White Wine dataset</w:t>
            </w:r>
          </w:p>
        </w:tc>
      </w:tr>
      <w:tr>
        <w:tc>
          <w:tcPr>
            <w:tcW w:type="dxa" w:w="5040"/>
            <w:vAlign w:val="center"/>
          </w:tcPr>
          <w:p>
            <w:r/>
            <w:r>
              <w:rPr>
                <w:rFonts w:ascii="Arial" w:hAnsi="Arial"/>
                <w:b w:val="0"/>
                <w:sz w:val="19"/>
              </w:rPr>
              <w:t>Dataset type</w:t>
            </w:r>
          </w:p>
        </w:tc>
        <w:tc>
          <w:tcPr>
            <w:tcW w:type="dxa" w:w="5040"/>
            <w:vAlign w:val="center"/>
          </w:tcPr>
          <w:p>
            <w:r/>
            <w:r>
              <w:rPr>
                <w:rFonts w:ascii="Arial" w:hAnsi="Arial"/>
                <w:b w:val="0"/>
                <w:sz w:val="19"/>
              </w:rPr>
              <w:t>Publicly available tabular dataset</w:t>
            </w:r>
          </w:p>
        </w:tc>
      </w:tr>
      <w:tr>
        <w:tc>
          <w:tcPr>
            <w:tcW w:type="dxa" w:w="5040"/>
            <w:vAlign w:val="center"/>
          </w:tcPr>
          <w:p>
            <w:r/>
            <w:r>
              <w:rPr>
                <w:rFonts w:ascii="Arial" w:hAnsi="Arial"/>
                <w:b w:val="0"/>
                <w:sz w:val="19"/>
              </w:rPr>
              <w:t>Primary objective</w:t>
            </w:r>
          </w:p>
        </w:tc>
        <w:tc>
          <w:tcPr>
            <w:tcW w:type="dxa" w:w="5040"/>
            <w:vAlign w:val="center"/>
          </w:tcPr>
          <w:p>
            <w:r/>
            <w:r>
              <w:rPr>
                <w:rFonts w:ascii="Arial" w:hAnsi="Arial"/>
                <w:b w:val="0"/>
                <w:sz w:val="19"/>
              </w:rPr>
              <w:t>Identify distributions, relationships, anomalies and variables associated with wine quality</w:t>
            </w:r>
          </w:p>
        </w:tc>
      </w:tr>
      <w:tr>
        <w:tc>
          <w:tcPr>
            <w:tcW w:type="dxa" w:w="5040"/>
            <w:vAlign w:val="center"/>
          </w:tcPr>
          <w:p>
            <w:r/>
            <w:r>
              <w:rPr>
                <w:rFonts w:ascii="Arial" w:hAnsi="Arial"/>
                <w:b w:val="0"/>
                <w:sz w:val="19"/>
              </w:rPr>
              <w:t>Tools</w:t>
            </w:r>
          </w:p>
        </w:tc>
        <w:tc>
          <w:tcPr>
            <w:tcW w:type="dxa" w:w="5040"/>
            <w:vAlign w:val="center"/>
          </w:tcPr>
          <w:p>
            <w:r/>
            <w:r>
              <w:rPr>
                <w:rFonts w:ascii="Arial" w:hAnsi="Arial"/>
                <w:b w:val="0"/>
                <w:sz w:val="19"/>
              </w:rPr>
              <w:t>Python, Pandas, NumPy, Matplotlib, Seaborn, Plotly, SciPy, Jupyter Notebook</w:t>
            </w:r>
          </w:p>
        </w:tc>
      </w:tr>
      <w:tr>
        <w:tc>
          <w:tcPr>
            <w:tcW w:type="dxa" w:w="5040"/>
            <w:vAlign w:val="center"/>
          </w:tcPr>
          <w:p>
            <w:r/>
            <w:r>
              <w:rPr>
                <w:rFonts w:ascii="Arial" w:hAnsi="Arial"/>
                <w:b w:val="0"/>
                <w:sz w:val="19"/>
              </w:rPr>
              <w:t>Main deliverable</w:t>
            </w:r>
          </w:p>
        </w:tc>
        <w:tc>
          <w:tcPr>
            <w:tcW w:type="dxa" w:w="5040"/>
            <w:vAlign w:val="center"/>
          </w:tcPr>
          <w:p>
            <w:r/>
            <w:r>
              <w:rPr>
                <w:rFonts w:ascii="Arial" w:hAnsi="Arial"/>
                <w:b w:val="0"/>
                <w:sz w:val="19"/>
              </w:rPr>
              <w:t>Structured EDA plan with statistical methods, outlier treatment and visualization strategy</w:t>
            </w:r>
          </w:p>
        </w:tc>
      </w:tr>
    </w:tbl>
    <w:p/>
    <w:p>
      <w:r>
        <w:br w:type="page"/>
      </w:r>
    </w:p>
    <w:p>
      <w:pPr>
        <w:pStyle w:val="Heading1"/>
      </w:pPr>
      <w:r>
        <w:t>1. Executive Summary</w:t>
      </w:r>
    </w:p>
    <w:p>
      <w:r>
        <w:t>This report presents a complete exploratory data analysis (EDA) and visualization strategy for the UCI Wine Quality – White Wine dataset. The purpose is to demonstrate a repeatable analytics workflow that can convert raw observations into reliable, interpretable insights before predictive modelling. The analysis will begin with data acquisition and validation, followed by structural inspection, descriptive statistics, missing-value assessment, duplicate detection, distribution analysis, correlation analysis, relationship exploration and anomaly detection. The target variable is wine quality, an ordinal score, while physicochemical measurements such as alcohol, acidity, density, pH, sulphates, chlorides, residual sugar and sulfur dioxide will be treated as explanatory variables.</w:t>
      </w:r>
    </w:p>
    <w:p>
      <w:r>
        <w:t>The visualization strategy combines univariate, bivariate and multivariate techniques. Histograms and box plots will describe distributions and potential outliers; scatter plots with trend lines will investigate relationships; correlation heatmaps will summarize linear association; violin/box plots will compare chemical characteristics across quality groups; and Plotly-based interactive charts can be used for deeper exploration. Statistical techniques will include mean, median, standard deviation, quartiles, IQR, skewness, Pearson/Spearman correlation and appropriate group-comparison tests. Outliers will be investigated rather than automatically deleted, because extreme chemical measurements may represent legitimate observations. Every transformation and decision will be documented for reproducibility.</w:t>
      </w:r>
    </w:p>
    <w:p>
      <w:pPr>
        <w:pStyle w:val="Heading1"/>
      </w:pPr>
      <w:r>
        <w:t>2. Task Objective and Success Criteria</w:t>
      </w:r>
    </w:p>
    <w:p>
      <w:pPr>
        <w:pStyle w:val="ListBullet"/>
      </w:pPr>
      <w:r>
        <w:t>Develop a thorough and logically ordered EDA process for a publicly available dataset.</w:t>
      </w:r>
    </w:p>
    <w:p>
      <w:pPr>
        <w:pStyle w:val="ListBullet"/>
      </w:pPr>
      <w:r>
        <w:t>Identify important variables, distributions, trends, correlations, patterns and anomalies.</w:t>
      </w:r>
    </w:p>
    <w:p>
      <w:pPr>
        <w:pStyle w:val="ListBullet"/>
      </w:pPr>
      <w:r>
        <w:t>Select visualizations that communicate analytical findings clearly to both technical and non-technical audiences.</w:t>
      </w:r>
    </w:p>
    <w:p>
      <w:pPr>
        <w:pStyle w:val="ListBullet"/>
      </w:pPr>
      <w:r>
        <w:t>Define defensible methods for missing values, duplicates, inconsistent values and outliers.</w:t>
      </w:r>
    </w:p>
    <w:p>
      <w:pPr>
        <w:pStyle w:val="ListBullet"/>
      </w:pPr>
      <w:r>
        <w:t>Document the Python libraries, statistical methods, assumptions and reasoning behind each analytical step.</w:t>
      </w:r>
    </w:p>
    <w:p>
      <w:pPr>
        <w:pStyle w:val="ListBullet"/>
      </w:pPr>
      <w:r>
        <w:t>Produce a reproducible workflow that can be reused for future analytics and predictive modelling projects.</w:t>
      </w:r>
    </w:p>
    <w:p>
      <w:pPr>
        <w:pStyle w:val="Heading1"/>
      </w:pPr>
      <w:r>
        <w:t>3. Dataset Selection and Rationale</w:t>
      </w:r>
    </w:p>
    <w:p>
      <w:r>
        <w:t>The selected dataset is the UCI Wine Quality – White Wine dataset. It contains physicochemical measurements of white wine samples and a quality score. It is suitable for EDA because it contains numerical variables with different scales, a discrete/ordinal target, potentially skewed measurements and meaningful relationships that can be explored through statistical and visual methods.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Dataset attribute</w:t>
            </w:r>
          </w:p>
        </w:tc>
        <w:tc>
          <w:tcPr>
            <w:tcW w:type="dxa" w:w="5040"/>
            <w:vAlign w:val="center"/>
            <w:shd w:fill="D9EAF7"/>
          </w:tcPr>
          <w:p>
            <w:r/>
            <w:r>
              <w:rPr>
                <w:rFonts w:ascii="Arial" w:hAnsi="Arial"/>
                <w:b/>
                <w:sz w:val="19"/>
              </w:rPr>
              <w:t>Planned treatment</w:t>
            </w:r>
          </w:p>
        </w:tc>
      </w:tr>
      <w:tr>
        <w:tc>
          <w:tcPr>
            <w:tcW w:type="dxa" w:w="5040"/>
            <w:vAlign w:val="center"/>
          </w:tcPr>
          <w:p>
            <w:r/>
            <w:r>
              <w:rPr>
                <w:rFonts w:ascii="Arial" w:hAnsi="Arial"/>
                <w:b w:val="0"/>
                <w:sz w:val="19"/>
              </w:rPr>
              <w:t>Rows</w:t>
            </w:r>
          </w:p>
        </w:tc>
        <w:tc>
          <w:tcPr>
            <w:tcW w:type="dxa" w:w="5040"/>
            <w:vAlign w:val="center"/>
          </w:tcPr>
          <w:p>
            <w:r/>
            <w:r>
              <w:rPr>
                <w:rFonts w:ascii="Arial" w:hAnsi="Arial"/>
                <w:b w:val="0"/>
                <w:sz w:val="19"/>
              </w:rPr>
              <w:t>Validate the exact row count after download and report it in the notebook.</w:t>
            </w:r>
          </w:p>
        </w:tc>
      </w:tr>
      <w:tr>
        <w:tc>
          <w:tcPr>
            <w:tcW w:type="dxa" w:w="5040"/>
            <w:vAlign w:val="center"/>
          </w:tcPr>
          <w:p>
            <w:r/>
            <w:r>
              <w:rPr>
                <w:rFonts w:ascii="Arial" w:hAnsi="Arial"/>
                <w:b w:val="0"/>
                <w:sz w:val="19"/>
              </w:rPr>
              <w:t>Features</w:t>
            </w:r>
          </w:p>
        </w:tc>
        <w:tc>
          <w:tcPr>
            <w:tcW w:type="dxa" w:w="5040"/>
            <w:vAlign w:val="center"/>
          </w:tcPr>
          <w:p>
            <w:r/>
            <w:r>
              <w:rPr>
                <w:rFonts w:ascii="Arial" w:hAnsi="Arial"/>
                <w:b w:val="0"/>
                <w:sz w:val="19"/>
              </w:rPr>
              <w:t>Numeric physicochemical measurements.</w:t>
            </w:r>
          </w:p>
        </w:tc>
      </w:tr>
      <w:tr>
        <w:tc>
          <w:tcPr>
            <w:tcW w:type="dxa" w:w="5040"/>
            <w:vAlign w:val="center"/>
          </w:tcPr>
          <w:p>
            <w:r/>
            <w:r>
              <w:rPr>
                <w:rFonts w:ascii="Arial" w:hAnsi="Arial"/>
                <w:b w:val="0"/>
                <w:sz w:val="19"/>
              </w:rPr>
              <w:t>Target</w:t>
            </w:r>
          </w:p>
        </w:tc>
        <w:tc>
          <w:tcPr>
            <w:tcW w:type="dxa" w:w="5040"/>
            <w:vAlign w:val="center"/>
          </w:tcPr>
          <w:p>
            <w:r/>
            <w:r>
              <w:rPr>
                <w:rFonts w:ascii="Arial" w:hAnsi="Arial"/>
                <w:b w:val="0"/>
                <w:sz w:val="19"/>
              </w:rPr>
              <w:t>quality score; treated as an ordinal/discrete outcome for EDA.</w:t>
            </w:r>
          </w:p>
        </w:tc>
      </w:tr>
      <w:tr>
        <w:tc>
          <w:tcPr>
            <w:tcW w:type="dxa" w:w="5040"/>
            <w:vAlign w:val="center"/>
          </w:tcPr>
          <w:p>
            <w:r/>
            <w:r>
              <w:rPr>
                <w:rFonts w:ascii="Arial" w:hAnsi="Arial"/>
                <w:b w:val="0"/>
                <w:sz w:val="19"/>
              </w:rPr>
              <w:t>Missing values</w:t>
            </w:r>
          </w:p>
        </w:tc>
        <w:tc>
          <w:tcPr>
            <w:tcW w:type="dxa" w:w="5040"/>
            <w:vAlign w:val="center"/>
          </w:tcPr>
          <w:p>
            <w:r/>
            <w:r>
              <w:rPr>
                <w:rFonts w:ascii="Arial" w:hAnsi="Arial"/>
                <w:b w:val="0"/>
                <w:sz w:val="19"/>
              </w:rPr>
              <w:t>Check explicitly; report count and percentage by column.</w:t>
            </w:r>
          </w:p>
        </w:tc>
      </w:tr>
      <w:tr>
        <w:tc>
          <w:tcPr>
            <w:tcW w:type="dxa" w:w="5040"/>
            <w:vAlign w:val="center"/>
          </w:tcPr>
          <w:p>
            <w:r/>
            <w:r>
              <w:rPr>
                <w:rFonts w:ascii="Arial" w:hAnsi="Arial"/>
                <w:b w:val="0"/>
                <w:sz w:val="19"/>
              </w:rPr>
              <w:t>Duplicates</w:t>
            </w:r>
          </w:p>
        </w:tc>
        <w:tc>
          <w:tcPr>
            <w:tcW w:type="dxa" w:w="5040"/>
            <w:vAlign w:val="center"/>
          </w:tcPr>
          <w:p>
            <w:r/>
            <w:r>
              <w:rPr>
                <w:rFonts w:ascii="Arial" w:hAnsi="Arial"/>
                <w:b w:val="0"/>
                <w:sz w:val="19"/>
              </w:rPr>
              <w:t>Detect exact duplicate rows and quantify their impact before deciding on treatment.</w:t>
            </w:r>
          </w:p>
        </w:tc>
      </w:tr>
      <w:tr>
        <w:tc>
          <w:tcPr>
            <w:tcW w:type="dxa" w:w="5040"/>
            <w:vAlign w:val="center"/>
          </w:tcPr>
          <w:p>
            <w:r/>
            <w:r>
              <w:rPr>
                <w:rFonts w:ascii="Arial" w:hAnsi="Arial"/>
                <w:b w:val="0"/>
                <w:sz w:val="19"/>
              </w:rPr>
              <w:t>Data types</w:t>
            </w:r>
          </w:p>
        </w:tc>
        <w:tc>
          <w:tcPr>
            <w:tcW w:type="dxa" w:w="5040"/>
            <w:vAlign w:val="center"/>
          </w:tcPr>
          <w:p>
            <w:r/>
            <w:r>
              <w:rPr>
                <w:rFonts w:ascii="Arial" w:hAnsi="Arial"/>
                <w:b w:val="0"/>
                <w:sz w:val="19"/>
              </w:rPr>
              <w:t>Validate numeric columns and convert only when justified.</w:t>
            </w:r>
          </w:p>
        </w:tc>
      </w:tr>
      <w:tr>
        <w:tc>
          <w:tcPr>
            <w:tcW w:type="dxa" w:w="5040"/>
            <w:vAlign w:val="center"/>
          </w:tcPr>
          <w:p>
            <w:r/>
            <w:r>
              <w:rPr>
                <w:rFonts w:ascii="Arial" w:hAnsi="Arial"/>
                <w:b w:val="0"/>
                <w:sz w:val="19"/>
              </w:rPr>
              <w:t>Scale</w:t>
            </w:r>
          </w:p>
        </w:tc>
        <w:tc>
          <w:tcPr>
            <w:tcW w:type="dxa" w:w="5040"/>
            <w:vAlign w:val="center"/>
          </w:tcPr>
          <w:p>
            <w:r/>
            <w:r>
              <w:rPr>
                <w:rFonts w:ascii="Arial" w:hAnsi="Arial"/>
                <w:b w:val="0"/>
                <w:sz w:val="19"/>
              </w:rPr>
              <w:t>Compare ranges and standard deviations; scaling is not required for descriptive EDA but may be needed for later modelling.</w:t>
            </w:r>
          </w:p>
        </w:tc>
      </w:tr>
    </w:tbl>
    <w:p/>
    <w:p>
      <w:r>
        <w:t>Official dataset reference: UCI Machine Learning Repository, Wine Quality dataset. The notebook uses the publicly available white-wine CSV resource and records the source URL so the analysis can be reproduced.</w:t>
      </w:r>
    </w:p>
    <w:p>
      <w:pPr>
        <w:pStyle w:val="Heading1"/>
      </w:pPr>
      <w:r>
        <w:t>4. Data Dictionary and Key Variables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9"/>
              </w:rPr>
              <w:t>Variable</w:t>
            </w:r>
          </w:p>
        </w:tc>
        <w:tc>
          <w:tcPr>
            <w:tcW w:type="dxa" w:w="2520"/>
            <w:vAlign w:val="center"/>
            <w:shd w:fill="D9EAF7"/>
          </w:tcPr>
          <w:p>
            <w:r/>
            <w:r>
              <w:rPr>
                <w:rFonts w:ascii="Arial" w:hAnsi="Arial"/>
                <w:b/>
                <w:sz w:val="19"/>
              </w:rPr>
              <w:t>Type</w:t>
            </w:r>
          </w:p>
        </w:tc>
        <w:tc>
          <w:tcPr>
            <w:tcW w:type="dxa" w:w="2520"/>
            <w:vAlign w:val="center"/>
            <w:shd w:fill="D9EAF7"/>
          </w:tcPr>
          <w:p>
            <w:r/>
            <w:r>
              <w:rPr>
                <w:rFonts w:ascii="Arial" w:hAnsi="Arial"/>
                <w:b/>
                <w:sz w:val="19"/>
              </w:rPr>
              <w:t>Meaning</w:t>
            </w:r>
          </w:p>
        </w:tc>
        <w:tc>
          <w:tcPr>
            <w:tcW w:type="dxa" w:w="2520"/>
            <w:vAlign w:val="center"/>
            <w:shd w:fill="D9EAF7"/>
          </w:tcPr>
          <w:p>
            <w:r/>
            <w:r>
              <w:rPr>
                <w:rFonts w:ascii="Arial" w:hAnsi="Arial"/>
                <w:b/>
                <w:sz w:val="19"/>
              </w:rPr>
              <w:t>Analytical role</w:t>
            </w:r>
          </w:p>
        </w:tc>
      </w:tr>
      <w:tr>
        <w:tc>
          <w:tcPr>
            <w:tcW w:type="dxa" w:w="2520"/>
            <w:vAlign w:val="center"/>
          </w:tcPr>
          <w:p>
            <w:r/>
            <w:r>
              <w:rPr>
                <w:rFonts w:ascii="Arial" w:hAnsi="Arial"/>
                <w:b w:val="0"/>
                <w:sz w:val="19"/>
              </w:rPr>
              <w:t>fixed acidity</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Acid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volatile acidity</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Volatile acidity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citric acid</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Citric acid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residual sugar</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Sugar remaining after fermentation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chlorides</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Chloride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free sulfur dioxide</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Free SO2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total sulfur dioxide</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Total SO2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density</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Wine density</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pH</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Acidity/basicity measure</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sulphates</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Sulphate concentration</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alcohol</w:t>
            </w:r>
          </w:p>
        </w:tc>
        <w:tc>
          <w:tcPr>
            <w:tcW w:type="dxa" w:w="2520"/>
            <w:vAlign w:val="center"/>
          </w:tcPr>
          <w:p>
            <w:r/>
            <w:r>
              <w:rPr>
                <w:rFonts w:ascii="Arial" w:hAnsi="Arial"/>
                <w:b w:val="0"/>
                <w:sz w:val="19"/>
              </w:rPr>
              <w:t>Numeric</w:t>
            </w:r>
          </w:p>
        </w:tc>
        <w:tc>
          <w:tcPr>
            <w:tcW w:type="dxa" w:w="2520"/>
            <w:vAlign w:val="center"/>
          </w:tcPr>
          <w:p>
            <w:r/>
            <w:r>
              <w:rPr>
                <w:rFonts w:ascii="Arial" w:hAnsi="Arial"/>
                <w:b w:val="0"/>
                <w:sz w:val="19"/>
              </w:rPr>
              <w:t>Alcohol percentage</w:t>
            </w:r>
          </w:p>
        </w:tc>
        <w:tc>
          <w:tcPr>
            <w:tcW w:type="dxa" w:w="2520"/>
            <w:vAlign w:val="center"/>
          </w:tcPr>
          <w:p>
            <w:r/>
            <w:r>
              <w:rPr>
                <w:rFonts w:ascii="Arial" w:hAnsi="Arial"/>
                <w:b w:val="0"/>
                <w:sz w:val="19"/>
              </w:rPr>
              <w:t>Continuous</w:t>
            </w:r>
          </w:p>
        </w:tc>
      </w:tr>
      <w:tr>
        <w:tc>
          <w:tcPr>
            <w:tcW w:type="dxa" w:w="2520"/>
            <w:vAlign w:val="center"/>
          </w:tcPr>
          <w:p>
            <w:r/>
            <w:r>
              <w:rPr>
                <w:rFonts w:ascii="Arial" w:hAnsi="Arial"/>
                <w:b w:val="0"/>
                <w:sz w:val="19"/>
              </w:rPr>
              <w:t>quality</w:t>
            </w:r>
          </w:p>
        </w:tc>
        <w:tc>
          <w:tcPr>
            <w:tcW w:type="dxa" w:w="2520"/>
            <w:vAlign w:val="center"/>
          </w:tcPr>
          <w:p>
            <w:r/>
            <w:r>
              <w:rPr>
                <w:rFonts w:ascii="Arial" w:hAnsi="Arial"/>
                <w:b w:val="0"/>
                <w:sz w:val="19"/>
              </w:rPr>
              <w:t>Integer</w:t>
            </w:r>
          </w:p>
        </w:tc>
        <w:tc>
          <w:tcPr>
            <w:tcW w:type="dxa" w:w="2520"/>
            <w:vAlign w:val="center"/>
          </w:tcPr>
          <w:p>
            <w:r/>
            <w:r>
              <w:rPr>
                <w:rFonts w:ascii="Arial" w:hAnsi="Arial"/>
                <w:b w:val="0"/>
                <w:sz w:val="19"/>
              </w:rPr>
              <w:t>Wine quality score</w:t>
            </w:r>
          </w:p>
        </w:tc>
        <w:tc>
          <w:tcPr>
            <w:tcW w:type="dxa" w:w="2520"/>
            <w:vAlign w:val="center"/>
          </w:tcPr>
          <w:p>
            <w:r/>
            <w:r>
              <w:rPr>
                <w:rFonts w:ascii="Arial" w:hAnsi="Arial"/>
                <w:b w:val="0"/>
                <w:sz w:val="19"/>
              </w:rPr>
              <w:t>Ordinal/discrete target</w:t>
            </w:r>
          </w:p>
        </w:tc>
      </w:tr>
    </w:tbl>
    <w:p/>
    <w:p>
      <w:pPr>
        <w:pStyle w:val="Heading1"/>
      </w:pPr>
      <w:r>
        <w:t>5. Analytical Questions</w:t>
      </w:r>
    </w:p>
    <w:p>
      <w:pPr>
        <w:pStyle w:val="ListNumber"/>
      </w:pPr>
      <w:r>
        <w:t>What is the distribution of wine quality scores?</w:t>
      </w:r>
    </w:p>
    <w:p>
      <w:pPr>
        <w:pStyle w:val="ListNumber"/>
      </w:pPr>
      <w:r>
        <w:t>Which physicochemical variables show the strongest association with quality?</w:t>
      </w:r>
    </w:p>
    <w:p>
      <w:pPr>
        <w:pStyle w:val="ListNumber"/>
      </w:pPr>
      <w:r>
        <w:t>Are alcohol, density, acidity or sulfur-dioxide measures related to quality?</w:t>
      </w:r>
    </w:p>
    <w:p>
      <w:pPr>
        <w:pStyle w:val="ListNumber"/>
      </w:pPr>
      <w:r>
        <w:t>Which variables are strongly correlated with each other and may contain redundant information?</w:t>
      </w:r>
    </w:p>
    <w:p>
      <w:pPr>
        <w:pStyle w:val="ListNumber"/>
      </w:pPr>
      <w:r>
        <w:t>Which variables have skewed distributions or unusually large/small observations?</w:t>
      </w:r>
    </w:p>
    <w:p>
      <w:pPr>
        <w:pStyle w:val="ListNumber"/>
      </w:pPr>
      <w:r>
        <w:t>Do chemical characteristics differ materially between lower-, medium- and higher-quality wines?</w:t>
      </w:r>
    </w:p>
    <w:p>
      <w:pPr>
        <w:pStyle w:val="ListNumber"/>
      </w:pPr>
      <w:r>
        <w:t>Are apparent outliers genuine observations or possible data-entry/measurement issues?</w:t>
      </w:r>
    </w:p>
    <w:p>
      <w:pPr>
        <w:pStyle w:val="ListNumber"/>
      </w:pPr>
      <w:r>
        <w:t>Which findings should be carried forward into a later predictive analytics stage?</w:t>
      </w:r>
    </w:p>
    <w:p>
      <w:pPr>
        <w:pStyle w:val="Heading1"/>
      </w:pPr>
      <w:r>
        <w:t>6. End-to-End EDA Methodology</w:t>
      </w:r>
    </w:p>
    <w:p>
      <w:pPr>
        <w:pStyle w:val="Heading2"/>
      </w:pPr>
      <w:r>
        <w:t>6.1 Data acquisition</w:t>
      </w:r>
    </w:p>
    <w:p>
      <w:r>
        <w:t>Download the public dataset, store the source URL and load it with Pandas. Preserve the raw data and never overwrite the original.</w:t>
      </w:r>
    </w:p>
    <w:p>
      <w:pPr>
        <w:pStyle w:val="Heading2"/>
      </w:pPr>
      <w:r>
        <w:t>6.2 Structural inspection</w:t>
      </w:r>
    </w:p>
    <w:p>
      <w:r>
        <w:t>Use shape, columns, dtypes, head/tail and info-style checks. Confirm that the expected variables are present.</w:t>
      </w:r>
    </w:p>
    <w:p>
      <w:pPr>
        <w:pStyle w:val="Heading2"/>
      </w:pPr>
      <w:r>
        <w:t>6.3 Data-quality audit</w:t>
      </w:r>
    </w:p>
    <w:p>
      <w:r>
        <w:t>Calculate missing values, duplicate rows, unique counts, impossible/negative values and basic range checks.</w:t>
      </w:r>
    </w:p>
    <w:p>
      <w:pPr>
        <w:pStyle w:val="Heading2"/>
      </w:pPr>
      <w:r>
        <w:t>6.4 Descriptive statistics</w:t>
      </w:r>
    </w:p>
    <w:p>
      <w:r>
        <w:t>Calculate count, mean, median, standard deviation, minimum, maximum, quartiles and IQR. Add skewness and selected percentiles.</w:t>
      </w:r>
    </w:p>
    <w:p>
      <w:pPr>
        <w:pStyle w:val="Heading2"/>
      </w:pPr>
      <w:r>
        <w:t>6.5 Univariate analysis</w:t>
      </w:r>
    </w:p>
    <w:p>
      <w:r>
        <w:t>Use histograms/KDE and box plots to understand distributions, spread, skewness and possible outliers.</w:t>
      </w:r>
    </w:p>
    <w:p>
      <w:pPr>
        <w:pStyle w:val="Heading2"/>
      </w:pPr>
      <w:r>
        <w:t>6.6 Target analysis</w:t>
      </w:r>
    </w:p>
    <w:p>
      <w:r>
        <w:t>Inspect the quality-score frequency distribution and compare sample counts across quality categories.</w:t>
      </w:r>
    </w:p>
    <w:p>
      <w:pPr>
        <w:pStyle w:val="Heading2"/>
      </w:pPr>
      <w:r>
        <w:t>6.7 Bivariate analysis</w:t>
      </w:r>
    </w:p>
    <w:p>
      <w:r>
        <w:t>Use scatter plots, regression/trend lines and grouped box/violin plots to examine relationships with quality.</w:t>
      </w:r>
    </w:p>
    <w:p>
      <w:pPr>
        <w:pStyle w:val="Heading2"/>
      </w:pPr>
      <w:r>
        <w:t>6.8 Correlation analysis</w:t>
      </w:r>
    </w:p>
    <w:p>
      <w:r>
        <w:t>Calculate Pearson correlations for approximately linear numeric relationships and Spearman correlations where ordinal/monotonic relationships are more appropriate.</w:t>
      </w:r>
    </w:p>
    <w:p>
      <w:pPr>
        <w:pStyle w:val="Heading2"/>
      </w:pPr>
      <w:r>
        <w:t>6.9 Multivariate analysis</w:t>
      </w:r>
    </w:p>
    <w:p>
      <w:r>
        <w:t>Use pair plots for selected variables, clustered/grouped views and interactive Plotly charts where useful.</w:t>
      </w:r>
    </w:p>
    <w:p>
      <w:pPr>
        <w:pStyle w:val="Heading2"/>
      </w:pPr>
      <w:r>
        <w:t>6.10 Outlier/anomaly analysis</w:t>
      </w:r>
    </w:p>
    <w:p>
      <w:r>
        <w:t>Use IQR fences, robust z-scores and visual inspection. Investigate observations before removing or winsorizing them.</w:t>
      </w:r>
    </w:p>
    <w:p>
      <w:pPr>
        <w:pStyle w:val="Heading2"/>
      </w:pPr>
      <w:r>
        <w:t>6.11 Insight synthesis</w:t>
      </w:r>
    </w:p>
    <w:p>
      <w:r>
        <w:t>Summarize the strongest patterns, surprising observations, limitations and variables suitable for later modelling.</w:t>
      </w:r>
    </w:p>
    <w:p>
      <w:pPr>
        <w:pStyle w:val="Heading2"/>
      </w:pPr>
      <w:r>
        <w:t>6.12 Reproducibility</w:t>
      </w:r>
    </w:p>
    <w:p>
      <w:r>
        <w:t>Record code, package versions, dataset source, assumptions and all transformations in the notebook/report.</w:t>
      </w:r>
    </w:p>
    <w:p>
      <w:pPr>
        <w:pStyle w:val="Heading1"/>
      </w:pPr>
      <w:r>
        <w:t>7. Statistical Methods and Reasoning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Method</w:t>
            </w:r>
          </w:p>
        </w:tc>
        <w:tc>
          <w:tcPr>
            <w:tcW w:type="dxa" w:w="3360"/>
            <w:vAlign w:val="center"/>
            <w:shd w:fill="D9EAF7"/>
          </w:tcPr>
          <w:p>
            <w:r/>
            <w:r>
              <w:rPr>
                <w:rFonts w:ascii="Arial" w:hAnsi="Arial"/>
                <w:b/>
                <w:sz w:val="19"/>
              </w:rPr>
              <w:t>Purpose</w:t>
            </w:r>
          </w:p>
        </w:tc>
        <w:tc>
          <w:tcPr>
            <w:tcW w:type="dxa" w:w="3360"/>
            <w:vAlign w:val="center"/>
            <w:shd w:fill="D9EAF7"/>
          </w:tcPr>
          <w:p>
            <w:r/>
            <w:r>
              <w:rPr>
                <w:rFonts w:ascii="Arial" w:hAnsi="Arial"/>
                <w:b/>
                <w:sz w:val="19"/>
              </w:rPr>
              <w:t>Interpretation / caution</w:t>
            </w:r>
          </w:p>
        </w:tc>
      </w:tr>
      <w:tr>
        <w:tc>
          <w:tcPr>
            <w:tcW w:type="dxa" w:w="3360"/>
            <w:vAlign w:val="center"/>
          </w:tcPr>
          <w:p>
            <w:r/>
            <w:r>
              <w:rPr>
                <w:rFonts w:ascii="Arial" w:hAnsi="Arial"/>
                <w:b w:val="0"/>
                <w:sz w:val="19"/>
              </w:rPr>
              <w:t>Mean &amp; median</w:t>
            </w:r>
          </w:p>
        </w:tc>
        <w:tc>
          <w:tcPr>
            <w:tcW w:type="dxa" w:w="3360"/>
            <w:vAlign w:val="center"/>
          </w:tcPr>
          <w:p>
            <w:r/>
            <w:r>
              <w:rPr>
                <w:rFonts w:ascii="Arial" w:hAnsi="Arial"/>
                <w:b w:val="0"/>
                <w:sz w:val="19"/>
              </w:rPr>
              <w:t>Central tendency</w:t>
            </w:r>
          </w:p>
        </w:tc>
        <w:tc>
          <w:tcPr>
            <w:tcW w:type="dxa" w:w="3360"/>
            <w:vAlign w:val="center"/>
          </w:tcPr>
          <w:p>
            <w:r/>
            <w:r>
              <w:rPr>
                <w:rFonts w:ascii="Arial" w:hAnsi="Arial"/>
                <w:b w:val="0"/>
                <w:sz w:val="19"/>
              </w:rPr>
              <w:t>Median is more robust when distributions are skewed.</w:t>
            </w:r>
          </w:p>
        </w:tc>
      </w:tr>
      <w:tr>
        <w:tc>
          <w:tcPr>
            <w:tcW w:type="dxa" w:w="3360"/>
            <w:vAlign w:val="center"/>
          </w:tcPr>
          <w:p>
            <w:r/>
            <w:r>
              <w:rPr>
                <w:rFonts w:ascii="Arial" w:hAnsi="Arial"/>
                <w:b w:val="0"/>
                <w:sz w:val="19"/>
              </w:rPr>
              <w:t>Standard deviation</w:t>
            </w:r>
          </w:p>
        </w:tc>
        <w:tc>
          <w:tcPr>
            <w:tcW w:type="dxa" w:w="3360"/>
            <w:vAlign w:val="center"/>
          </w:tcPr>
          <w:p>
            <w:r/>
            <w:r>
              <w:rPr>
                <w:rFonts w:ascii="Arial" w:hAnsi="Arial"/>
                <w:b w:val="0"/>
                <w:sz w:val="19"/>
              </w:rPr>
              <w:t>Measure spread</w:t>
            </w:r>
          </w:p>
        </w:tc>
        <w:tc>
          <w:tcPr>
            <w:tcW w:type="dxa" w:w="3360"/>
            <w:vAlign w:val="center"/>
          </w:tcPr>
          <w:p>
            <w:r/>
            <w:r>
              <w:rPr>
                <w:rFonts w:ascii="Arial" w:hAnsi="Arial"/>
                <w:b w:val="0"/>
                <w:sz w:val="19"/>
              </w:rPr>
              <w:t>Sensitive to extreme observations.</w:t>
            </w:r>
          </w:p>
        </w:tc>
      </w:tr>
      <w:tr>
        <w:tc>
          <w:tcPr>
            <w:tcW w:type="dxa" w:w="3360"/>
            <w:vAlign w:val="center"/>
          </w:tcPr>
          <w:p>
            <w:r/>
            <w:r>
              <w:rPr>
                <w:rFonts w:ascii="Arial" w:hAnsi="Arial"/>
                <w:b w:val="0"/>
                <w:sz w:val="19"/>
              </w:rPr>
              <w:t>Quartiles &amp; IQR</w:t>
            </w:r>
          </w:p>
        </w:tc>
        <w:tc>
          <w:tcPr>
            <w:tcW w:type="dxa" w:w="3360"/>
            <w:vAlign w:val="center"/>
          </w:tcPr>
          <w:p>
            <w:r/>
            <w:r>
              <w:rPr>
                <w:rFonts w:ascii="Arial" w:hAnsi="Arial"/>
                <w:b w:val="0"/>
                <w:sz w:val="19"/>
              </w:rPr>
              <w:t>Robust spread and outlier screening</w:t>
            </w:r>
          </w:p>
        </w:tc>
        <w:tc>
          <w:tcPr>
            <w:tcW w:type="dxa" w:w="3360"/>
            <w:vAlign w:val="center"/>
          </w:tcPr>
          <w:p>
            <w:r/>
            <w:r>
              <w:rPr>
                <w:rFonts w:ascii="Arial" w:hAnsi="Arial"/>
                <w:b w:val="0"/>
                <w:sz w:val="19"/>
              </w:rPr>
              <w:t>Useful for skewed numerical variables.</w:t>
            </w:r>
          </w:p>
        </w:tc>
      </w:tr>
      <w:tr>
        <w:tc>
          <w:tcPr>
            <w:tcW w:type="dxa" w:w="3360"/>
            <w:vAlign w:val="center"/>
          </w:tcPr>
          <w:p>
            <w:r/>
            <w:r>
              <w:rPr>
                <w:rFonts w:ascii="Arial" w:hAnsi="Arial"/>
                <w:b w:val="0"/>
                <w:sz w:val="19"/>
              </w:rPr>
              <w:t>Skewness</w:t>
            </w:r>
          </w:p>
        </w:tc>
        <w:tc>
          <w:tcPr>
            <w:tcW w:type="dxa" w:w="3360"/>
            <w:vAlign w:val="center"/>
          </w:tcPr>
          <w:p>
            <w:r/>
            <w:r>
              <w:rPr>
                <w:rFonts w:ascii="Arial" w:hAnsi="Arial"/>
                <w:b w:val="0"/>
                <w:sz w:val="19"/>
              </w:rPr>
              <w:t>Quantify asymmetry</w:t>
            </w:r>
          </w:p>
        </w:tc>
        <w:tc>
          <w:tcPr>
            <w:tcW w:type="dxa" w:w="3360"/>
            <w:vAlign w:val="center"/>
          </w:tcPr>
          <w:p>
            <w:r/>
            <w:r>
              <w:rPr>
                <w:rFonts w:ascii="Arial" w:hAnsi="Arial"/>
                <w:b w:val="0"/>
                <w:sz w:val="19"/>
              </w:rPr>
              <w:t>Large positive/negative values indicate asymmetric distributions.</w:t>
            </w:r>
          </w:p>
        </w:tc>
      </w:tr>
      <w:tr>
        <w:tc>
          <w:tcPr>
            <w:tcW w:type="dxa" w:w="3360"/>
            <w:vAlign w:val="center"/>
          </w:tcPr>
          <w:p>
            <w:r/>
            <w:r>
              <w:rPr>
                <w:rFonts w:ascii="Arial" w:hAnsi="Arial"/>
                <w:b w:val="0"/>
                <w:sz w:val="19"/>
              </w:rPr>
              <w:t>Pearson correlation</w:t>
            </w:r>
          </w:p>
        </w:tc>
        <w:tc>
          <w:tcPr>
            <w:tcW w:type="dxa" w:w="3360"/>
            <w:vAlign w:val="center"/>
          </w:tcPr>
          <w:p>
            <w:r/>
            <w:r>
              <w:rPr>
                <w:rFonts w:ascii="Arial" w:hAnsi="Arial"/>
                <w:b w:val="0"/>
                <w:sz w:val="19"/>
              </w:rPr>
              <w:t>Linear association</w:t>
            </w:r>
          </w:p>
        </w:tc>
        <w:tc>
          <w:tcPr>
            <w:tcW w:type="dxa" w:w="3360"/>
            <w:vAlign w:val="center"/>
          </w:tcPr>
          <w:p>
            <w:r/>
            <w:r>
              <w:rPr>
                <w:rFonts w:ascii="Arial" w:hAnsi="Arial"/>
                <w:b w:val="0"/>
                <w:sz w:val="19"/>
              </w:rPr>
              <w:t>Correlation is not causation and can be affected by outliers.</w:t>
            </w:r>
          </w:p>
        </w:tc>
      </w:tr>
      <w:tr>
        <w:tc>
          <w:tcPr>
            <w:tcW w:type="dxa" w:w="3360"/>
            <w:vAlign w:val="center"/>
          </w:tcPr>
          <w:p>
            <w:r/>
            <w:r>
              <w:rPr>
                <w:rFonts w:ascii="Arial" w:hAnsi="Arial"/>
                <w:b w:val="0"/>
                <w:sz w:val="19"/>
              </w:rPr>
              <w:t>Spearman correlation</w:t>
            </w:r>
          </w:p>
        </w:tc>
        <w:tc>
          <w:tcPr>
            <w:tcW w:type="dxa" w:w="3360"/>
            <w:vAlign w:val="center"/>
          </w:tcPr>
          <w:p>
            <w:r/>
            <w:r>
              <w:rPr>
                <w:rFonts w:ascii="Arial" w:hAnsi="Arial"/>
                <w:b w:val="0"/>
                <w:sz w:val="19"/>
              </w:rPr>
              <w:t>Monotonic association</w:t>
            </w:r>
          </w:p>
        </w:tc>
        <w:tc>
          <w:tcPr>
            <w:tcW w:type="dxa" w:w="3360"/>
            <w:vAlign w:val="center"/>
          </w:tcPr>
          <w:p>
            <w:r/>
            <w:r>
              <w:rPr>
                <w:rFonts w:ascii="Arial" w:hAnsi="Arial"/>
                <w:b w:val="0"/>
                <w:sz w:val="19"/>
              </w:rPr>
              <w:t>Useful for ordinal outcomes and non-normal/monotonic relationships.</w:t>
            </w:r>
          </w:p>
        </w:tc>
      </w:tr>
      <w:tr>
        <w:tc>
          <w:tcPr>
            <w:tcW w:type="dxa" w:w="3360"/>
            <w:vAlign w:val="center"/>
          </w:tcPr>
          <w:p>
            <w:r/>
            <w:r>
              <w:rPr>
                <w:rFonts w:ascii="Arial" w:hAnsi="Arial"/>
                <w:b w:val="0"/>
                <w:sz w:val="19"/>
              </w:rPr>
              <w:t>Group summaries</w:t>
            </w:r>
          </w:p>
        </w:tc>
        <w:tc>
          <w:tcPr>
            <w:tcW w:type="dxa" w:w="3360"/>
            <w:vAlign w:val="center"/>
          </w:tcPr>
          <w:p>
            <w:r/>
            <w:r>
              <w:rPr>
                <w:rFonts w:ascii="Arial" w:hAnsi="Arial"/>
                <w:b w:val="0"/>
                <w:sz w:val="19"/>
              </w:rPr>
              <w:t>Compare chemical variables across quality groups</w:t>
            </w:r>
          </w:p>
        </w:tc>
        <w:tc>
          <w:tcPr>
            <w:tcW w:type="dxa" w:w="3360"/>
            <w:vAlign w:val="center"/>
          </w:tcPr>
          <w:p>
            <w:r/>
            <w:r>
              <w:rPr>
                <w:rFonts w:ascii="Arial" w:hAnsi="Arial"/>
                <w:b w:val="0"/>
                <w:sz w:val="19"/>
              </w:rPr>
              <w:t>Use median/IQR as well as mean/SD.</w:t>
            </w:r>
          </w:p>
        </w:tc>
      </w:tr>
      <w:tr>
        <w:tc>
          <w:tcPr>
            <w:tcW w:type="dxa" w:w="3360"/>
            <w:vAlign w:val="center"/>
          </w:tcPr>
          <w:p>
            <w:r/>
            <w:r>
              <w:rPr>
                <w:rFonts w:ascii="Arial" w:hAnsi="Arial"/>
                <w:b w:val="0"/>
                <w:sz w:val="19"/>
              </w:rPr>
              <w:t>Optional ANOVA/Kruskal-Wallis</w:t>
            </w:r>
          </w:p>
        </w:tc>
        <w:tc>
          <w:tcPr>
            <w:tcW w:type="dxa" w:w="3360"/>
            <w:vAlign w:val="center"/>
          </w:tcPr>
          <w:p>
            <w:r/>
            <w:r>
              <w:rPr>
                <w:rFonts w:ascii="Arial" w:hAnsi="Arial"/>
                <w:b w:val="0"/>
                <w:sz w:val="19"/>
              </w:rPr>
              <w:t>Test differences across multiple quality groups</w:t>
            </w:r>
          </w:p>
        </w:tc>
        <w:tc>
          <w:tcPr>
            <w:tcW w:type="dxa" w:w="3360"/>
            <w:vAlign w:val="center"/>
          </w:tcPr>
          <w:p>
            <w:r/>
            <w:r>
              <w:rPr>
                <w:rFonts w:ascii="Arial" w:hAnsi="Arial"/>
                <w:b w:val="0"/>
                <w:sz w:val="19"/>
              </w:rPr>
              <w:t>Choose based on distribution/assumption checks; report effect size where possible.</w:t>
            </w:r>
          </w:p>
        </w:tc>
      </w:tr>
    </w:tbl>
    <w:p/>
    <w:p>
      <w:pPr>
        <w:pStyle w:val="Heading1"/>
      </w:pPr>
      <w:r>
        <w:t>8. Visualization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Question</w:t>
            </w:r>
          </w:p>
        </w:tc>
        <w:tc>
          <w:tcPr>
            <w:tcW w:type="dxa" w:w="3360"/>
            <w:vAlign w:val="center"/>
            <w:shd w:fill="D9EAF7"/>
          </w:tcPr>
          <w:p>
            <w:r/>
            <w:r>
              <w:rPr>
                <w:rFonts w:ascii="Arial" w:hAnsi="Arial"/>
                <w:b/>
                <w:sz w:val="19"/>
              </w:rPr>
              <w:t>Chart</w:t>
            </w:r>
          </w:p>
        </w:tc>
        <w:tc>
          <w:tcPr>
            <w:tcW w:type="dxa" w:w="3360"/>
            <w:vAlign w:val="center"/>
            <w:shd w:fill="D9EAF7"/>
          </w:tcPr>
          <w:p>
            <w:r/>
            <w:r>
              <w:rPr>
                <w:rFonts w:ascii="Arial" w:hAnsi="Arial"/>
                <w:b/>
                <w:sz w:val="19"/>
              </w:rPr>
              <w:t>Why it is appropriate</w:t>
            </w:r>
          </w:p>
        </w:tc>
      </w:tr>
      <w:tr>
        <w:tc>
          <w:tcPr>
            <w:tcW w:type="dxa" w:w="3360"/>
            <w:vAlign w:val="center"/>
          </w:tcPr>
          <w:p>
            <w:r/>
            <w:r>
              <w:rPr>
                <w:rFonts w:ascii="Arial" w:hAnsi="Arial"/>
                <w:b w:val="0"/>
                <w:sz w:val="19"/>
              </w:rPr>
              <w:t>How are variables distributed?</w:t>
            </w:r>
          </w:p>
        </w:tc>
        <w:tc>
          <w:tcPr>
            <w:tcW w:type="dxa" w:w="3360"/>
            <w:vAlign w:val="center"/>
          </w:tcPr>
          <w:p>
            <w:r/>
            <w:r>
              <w:rPr>
                <w:rFonts w:ascii="Arial" w:hAnsi="Arial"/>
                <w:b w:val="0"/>
                <w:sz w:val="19"/>
              </w:rPr>
              <w:t>Histogram + KDE</w:t>
            </w:r>
          </w:p>
        </w:tc>
        <w:tc>
          <w:tcPr>
            <w:tcW w:type="dxa" w:w="3360"/>
            <w:vAlign w:val="center"/>
          </w:tcPr>
          <w:p>
            <w:r/>
            <w:r>
              <w:rPr>
                <w:rFonts w:ascii="Arial" w:hAnsi="Arial"/>
                <w:b w:val="0"/>
                <w:sz w:val="19"/>
              </w:rPr>
              <w:t>Shows concentration, skewness and multiple modes.</w:t>
            </w:r>
          </w:p>
        </w:tc>
      </w:tr>
      <w:tr>
        <w:tc>
          <w:tcPr>
            <w:tcW w:type="dxa" w:w="3360"/>
            <w:vAlign w:val="center"/>
          </w:tcPr>
          <w:p>
            <w:r/>
            <w:r>
              <w:rPr>
                <w:rFonts w:ascii="Arial" w:hAnsi="Arial"/>
                <w:b w:val="0"/>
                <w:sz w:val="19"/>
              </w:rPr>
              <w:t>Where are extreme values?</w:t>
            </w:r>
          </w:p>
        </w:tc>
        <w:tc>
          <w:tcPr>
            <w:tcW w:type="dxa" w:w="3360"/>
            <w:vAlign w:val="center"/>
          </w:tcPr>
          <w:p>
            <w:r/>
            <w:r>
              <w:rPr>
                <w:rFonts w:ascii="Arial" w:hAnsi="Arial"/>
                <w:b w:val="0"/>
                <w:sz w:val="19"/>
              </w:rPr>
              <w:t>Box plot</w:t>
            </w:r>
          </w:p>
        </w:tc>
        <w:tc>
          <w:tcPr>
            <w:tcW w:type="dxa" w:w="3360"/>
            <w:vAlign w:val="center"/>
          </w:tcPr>
          <w:p>
            <w:r/>
            <w:r>
              <w:rPr>
                <w:rFonts w:ascii="Arial" w:hAnsi="Arial"/>
                <w:b w:val="0"/>
                <w:sz w:val="19"/>
              </w:rPr>
              <w:t>Shows median, quartiles and potential outliers compactly.</w:t>
            </w:r>
          </w:p>
        </w:tc>
      </w:tr>
      <w:tr>
        <w:tc>
          <w:tcPr>
            <w:tcW w:type="dxa" w:w="3360"/>
            <w:vAlign w:val="center"/>
          </w:tcPr>
          <w:p>
            <w:r/>
            <w:r>
              <w:rPr>
                <w:rFonts w:ascii="Arial" w:hAnsi="Arial"/>
                <w:b w:val="0"/>
                <w:sz w:val="19"/>
              </w:rPr>
              <w:t>How does quality vary?</w:t>
            </w:r>
          </w:p>
        </w:tc>
        <w:tc>
          <w:tcPr>
            <w:tcW w:type="dxa" w:w="3360"/>
            <w:vAlign w:val="center"/>
          </w:tcPr>
          <w:p>
            <w:r/>
            <w:r>
              <w:rPr>
                <w:rFonts w:ascii="Arial" w:hAnsi="Arial"/>
                <w:b w:val="0"/>
                <w:sz w:val="19"/>
              </w:rPr>
              <w:t>Count/bar chart</w:t>
            </w:r>
          </w:p>
        </w:tc>
        <w:tc>
          <w:tcPr>
            <w:tcW w:type="dxa" w:w="3360"/>
            <w:vAlign w:val="center"/>
          </w:tcPr>
          <w:p>
            <w:r/>
            <w:r>
              <w:rPr>
                <w:rFonts w:ascii="Arial" w:hAnsi="Arial"/>
                <w:b w:val="0"/>
                <w:sz w:val="19"/>
              </w:rPr>
              <w:t>Makes class/sample imbalance visible.</w:t>
            </w:r>
          </w:p>
        </w:tc>
      </w:tr>
      <w:tr>
        <w:tc>
          <w:tcPr>
            <w:tcW w:type="dxa" w:w="3360"/>
            <w:vAlign w:val="center"/>
          </w:tcPr>
          <w:p>
            <w:r/>
            <w:r>
              <w:rPr>
                <w:rFonts w:ascii="Arial" w:hAnsi="Arial"/>
                <w:b w:val="0"/>
                <w:sz w:val="19"/>
              </w:rPr>
              <w:t>How do two numeric variables relate?</w:t>
            </w:r>
          </w:p>
        </w:tc>
        <w:tc>
          <w:tcPr>
            <w:tcW w:type="dxa" w:w="3360"/>
            <w:vAlign w:val="center"/>
          </w:tcPr>
          <w:p>
            <w:r/>
            <w:r>
              <w:rPr>
                <w:rFonts w:ascii="Arial" w:hAnsi="Arial"/>
                <w:b w:val="0"/>
                <w:sz w:val="19"/>
              </w:rPr>
              <w:t>Scatter plot + trend line</w:t>
            </w:r>
          </w:p>
        </w:tc>
        <w:tc>
          <w:tcPr>
            <w:tcW w:type="dxa" w:w="3360"/>
            <w:vAlign w:val="center"/>
          </w:tcPr>
          <w:p>
            <w:r/>
            <w:r>
              <w:rPr>
                <w:rFonts w:ascii="Arial" w:hAnsi="Arial"/>
                <w:b w:val="0"/>
                <w:sz w:val="19"/>
              </w:rPr>
              <w:t>Shows direction, strength, non-linearity and clusters.</w:t>
            </w:r>
          </w:p>
        </w:tc>
      </w:tr>
      <w:tr>
        <w:tc>
          <w:tcPr>
            <w:tcW w:type="dxa" w:w="3360"/>
            <w:vAlign w:val="center"/>
          </w:tcPr>
          <w:p>
            <w:r/>
            <w:r>
              <w:rPr>
                <w:rFonts w:ascii="Arial" w:hAnsi="Arial"/>
                <w:b w:val="0"/>
                <w:sz w:val="19"/>
              </w:rPr>
              <w:t>How do variables relate overall?</w:t>
            </w:r>
          </w:p>
        </w:tc>
        <w:tc>
          <w:tcPr>
            <w:tcW w:type="dxa" w:w="3360"/>
            <w:vAlign w:val="center"/>
          </w:tcPr>
          <w:p>
            <w:r/>
            <w:r>
              <w:rPr>
                <w:rFonts w:ascii="Arial" w:hAnsi="Arial"/>
                <w:b w:val="0"/>
                <w:sz w:val="19"/>
              </w:rPr>
              <w:t>Correlation heatmap</w:t>
            </w:r>
          </w:p>
        </w:tc>
        <w:tc>
          <w:tcPr>
            <w:tcW w:type="dxa" w:w="3360"/>
            <w:vAlign w:val="center"/>
          </w:tcPr>
          <w:p>
            <w:r/>
            <w:r>
              <w:rPr>
                <w:rFonts w:ascii="Arial" w:hAnsi="Arial"/>
                <w:b w:val="0"/>
                <w:sz w:val="19"/>
              </w:rPr>
              <w:t>Provides a compact matrix of pairwise associations.</w:t>
            </w:r>
          </w:p>
        </w:tc>
      </w:tr>
      <w:tr>
        <w:tc>
          <w:tcPr>
            <w:tcW w:type="dxa" w:w="3360"/>
            <w:vAlign w:val="center"/>
          </w:tcPr>
          <w:p>
            <w:r/>
            <w:r>
              <w:rPr>
                <w:rFonts w:ascii="Arial" w:hAnsi="Arial"/>
                <w:b w:val="0"/>
                <w:sz w:val="19"/>
              </w:rPr>
              <w:t>Do chemical values differ by quality?</w:t>
            </w:r>
          </w:p>
        </w:tc>
        <w:tc>
          <w:tcPr>
            <w:tcW w:type="dxa" w:w="3360"/>
            <w:vAlign w:val="center"/>
          </w:tcPr>
          <w:p>
            <w:r/>
            <w:r>
              <w:rPr>
                <w:rFonts w:ascii="Arial" w:hAnsi="Arial"/>
                <w:b w:val="0"/>
                <w:sz w:val="19"/>
              </w:rPr>
              <w:t>Box/violin plot by quality group</w:t>
            </w:r>
          </w:p>
        </w:tc>
        <w:tc>
          <w:tcPr>
            <w:tcW w:type="dxa" w:w="3360"/>
            <w:vAlign w:val="center"/>
          </w:tcPr>
          <w:p>
            <w:r/>
            <w:r>
              <w:rPr>
                <w:rFonts w:ascii="Arial" w:hAnsi="Arial"/>
                <w:b w:val="0"/>
                <w:sz w:val="19"/>
              </w:rPr>
              <w:t>Shows group distributions rather than only averages.</w:t>
            </w:r>
          </w:p>
        </w:tc>
      </w:tr>
      <w:tr>
        <w:tc>
          <w:tcPr>
            <w:tcW w:type="dxa" w:w="3360"/>
            <w:vAlign w:val="center"/>
          </w:tcPr>
          <w:p>
            <w:r/>
            <w:r>
              <w:rPr>
                <w:rFonts w:ascii="Arial" w:hAnsi="Arial"/>
                <w:b w:val="0"/>
                <w:sz w:val="19"/>
              </w:rPr>
              <w:t>How do several variables interact?</w:t>
            </w:r>
          </w:p>
        </w:tc>
        <w:tc>
          <w:tcPr>
            <w:tcW w:type="dxa" w:w="3360"/>
            <w:vAlign w:val="center"/>
          </w:tcPr>
          <w:p>
            <w:r/>
            <w:r>
              <w:rPr>
                <w:rFonts w:ascii="Arial" w:hAnsi="Arial"/>
                <w:b w:val="0"/>
                <w:sz w:val="19"/>
              </w:rPr>
              <w:t>Pair plot</w:t>
            </w:r>
          </w:p>
        </w:tc>
        <w:tc>
          <w:tcPr>
            <w:tcW w:type="dxa" w:w="3360"/>
            <w:vAlign w:val="center"/>
          </w:tcPr>
          <w:p>
            <w:r/>
            <w:r>
              <w:rPr>
                <w:rFonts w:ascii="Arial" w:hAnsi="Arial"/>
                <w:b w:val="0"/>
                <w:sz w:val="19"/>
              </w:rPr>
              <w:t>Useful for selected high-value variables; avoid excessive chart density.</w:t>
            </w:r>
          </w:p>
        </w:tc>
      </w:tr>
      <w:tr>
        <w:tc>
          <w:tcPr>
            <w:tcW w:type="dxa" w:w="3360"/>
            <w:vAlign w:val="center"/>
          </w:tcPr>
          <w:p>
            <w:r/>
            <w:r>
              <w:rPr>
                <w:rFonts w:ascii="Arial" w:hAnsi="Arial"/>
                <w:b w:val="0"/>
                <w:sz w:val="19"/>
              </w:rPr>
              <w:t>How can an evaluator explore the data?</w:t>
            </w:r>
          </w:p>
        </w:tc>
        <w:tc>
          <w:tcPr>
            <w:tcW w:type="dxa" w:w="3360"/>
            <w:vAlign w:val="center"/>
          </w:tcPr>
          <w:p>
            <w:r/>
            <w:r>
              <w:rPr>
                <w:rFonts w:ascii="Arial" w:hAnsi="Arial"/>
                <w:b w:val="0"/>
                <w:sz w:val="19"/>
              </w:rPr>
              <w:t>Plotly interactive scatter</w:t>
            </w:r>
          </w:p>
        </w:tc>
        <w:tc>
          <w:tcPr>
            <w:tcW w:type="dxa" w:w="3360"/>
            <w:vAlign w:val="center"/>
          </w:tcPr>
          <w:p>
            <w:r/>
            <w:r>
              <w:rPr>
                <w:rFonts w:ascii="Arial" w:hAnsi="Arial"/>
                <w:b w:val="0"/>
                <w:sz w:val="19"/>
              </w:rPr>
              <w:t>Supports hover, zoom and filtering for deeper exploration.</w:t>
            </w:r>
          </w:p>
        </w:tc>
      </w:tr>
    </w:tbl>
    <w:p/>
    <w:p>
      <w:pPr>
        <w:pStyle w:val="Heading1"/>
      </w:pPr>
      <w:r>
        <w:t>9. Outlier and Anomaly Treatment</w:t>
      </w:r>
    </w:p>
    <w:p>
      <w:r>
        <w:t>Outlier treatment will follow an investigation-first principle. An observation will not be deleted simply because it lies outside an IQR fence. First, the value will be checked against the dataset's valid range, duplicate patterns, neighbouring observations and domain plausibility.</w:t>
      </w:r>
    </w:p>
    <w:p>
      <w:pPr>
        <w:pStyle w:val="ListBullet"/>
      </w:pPr>
      <w:r>
        <w:t>IQR method: lower fence = Q1 − 1.5×IQR; upper fence = Q3 + 1.5×IQR.</w:t>
      </w:r>
    </w:p>
    <w:p>
      <w:pPr>
        <w:pStyle w:val="ListBullet"/>
      </w:pPr>
      <w:r>
        <w:t>Robust z-score using median and MAD can be used when distributions are strongly skewed.</w:t>
      </w:r>
    </w:p>
    <w:p>
      <w:pPr>
        <w:pStyle w:val="ListBullet"/>
      </w:pPr>
      <w:r>
        <w:t>Visual confirmation with box plots and scatter plots will identify whether an observation is isolated or part of a legitimate cluster.</w:t>
      </w:r>
    </w:p>
    <w:p>
      <w:pPr>
        <w:pStyle w:val="ListBullet"/>
      </w:pPr>
      <w:r>
        <w:t>If an observation is valid, retain it and report its influence. If it is clearly erroneous, document the reason for correction/removal.</w:t>
      </w:r>
    </w:p>
    <w:p>
      <w:pPr>
        <w:pStyle w:val="ListBullet"/>
      </w:pPr>
      <w:r>
        <w:t>If later modelling requires reduced influence from extreme but valid values, compare robust models or justified winsorization rather than silently deleting rows.</w:t>
      </w:r>
    </w:p>
    <w:p>
      <w:pPr>
        <w:pStyle w:val="Heading1"/>
      </w:pPr>
      <w:r>
        <w:t>10. Data Cleaning and Quality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Check</w:t>
            </w:r>
          </w:p>
        </w:tc>
        <w:tc>
          <w:tcPr>
            <w:tcW w:type="dxa" w:w="5040"/>
            <w:vAlign w:val="center"/>
            <w:shd w:fill="D9EAF7"/>
          </w:tcPr>
          <w:p>
            <w:r/>
            <w:r>
              <w:rPr>
                <w:rFonts w:ascii="Arial" w:hAnsi="Arial"/>
                <w:b/>
                <w:sz w:val="19"/>
              </w:rPr>
              <w:t>Action</w:t>
            </w:r>
          </w:p>
        </w:tc>
      </w:tr>
      <w:tr>
        <w:tc>
          <w:tcPr>
            <w:tcW w:type="dxa" w:w="5040"/>
            <w:vAlign w:val="center"/>
          </w:tcPr>
          <w:p>
            <w:r/>
            <w:r>
              <w:rPr>
                <w:rFonts w:ascii="Arial" w:hAnsi="Arial"/>
                <w:b w:val="0"/>
                <w:sz w:val="19"/>
              </w:rPr>
              <w:t>Missing values</w:t>
            </w:r>
          </w:p>
        </w:tc>
        <w:tc>
          <w:tcPr>
            <w:tcW w:type="dxa" w:w="5040"/>
            <w:vAlign w:val="center"/>
          </w:tcPr>
          <w:p>
            <w:r/>
            <w:r>
              <w:rPr>
                <w:rFonts w:ascii="Arial" w:hAnsi="Arial"/>
                <w:b w:val="0"/>
                <w:sz w:val="19"/>
              </w:rPr>
              <w:t>Report count/percentage. For this dataset, first verify whether missing values actually exist before choosing an imputation strategy.</w:t>
            </w:r>
          </w:p>
        </w:tc>
      </w:tr>
      <w:tr>
        <w:tc>
          <w:tcPr>
            <w:tcW w:type="dxa" w:w="5040"/>
            <w:vAlign w:val="center"/>
          </w:tcPr>
          <w:p>
            <w:r/>
            <w:r>
              <w:rPr>
                <w:rFonts w:ascii="Arial" w:hAnsi="Arial"/>
                <w:b w:val="0"/>
                <w:sz w:val="19"/>
              </w:rPr>
              <w:t>Duplicates</w:t>
            </w:r>
          </w:p>
        </w:tc>
        <w:tc>
          <w:tcPr>
            <w:tcW w:type="dxa" w:w="5040"/>
            <w:vAlign w:val="center"/>
          </w:tcPr>
          <w:p>
            <w:r/>
            <w:r>
              <w:rPr>
                <w:rFonts w:ascii="Arial" w:hAnsi="Arial"/>
                <w:b w:val="0"/>
                <w:sz w:val="19"/>
              </w:rPr>
              <w:t>Count exact duplicate rows. Compare results with and without duplicates if duplicates are substantial.</w:t>
            </w:r>
          </w:p>
        </w:tc>
      </w:tr>
      <w:tr>
        <w:tc>
          <w:tcPr>
            <w:tcW w:type="dxa" w:w="5040"/>
            <w:vAlign w:val="center"/>
          </w:tcPr>
          <w:p>
            <w:r/>
            <w:r>
              <w:rPr>
                <w:rFonts w:ascii="Arial" w:hAnsi="Arial"/>
                <w:b w:val="0"/>
                <w:sz w:val="19"/>
              </w:rPr>
              <w:t>Invalid ranges</w:t>
            </w:r>
          </w:p>
        </w:tc>
        <w:tc>
          <w:tcPr>
            <w:tcW w:type="dxa" w:w="5040"/>
            <w:vAlign w:val="center"/>
          </w:tcPr>
          <w:p>
            <w:r/>
            <w:r>
              <w:rPr>
                <w:rFonts w:ascii="Arial" w:hAnsi="Arial"/>
                <w:b w:val="0"/>
                <w:sz w:val="19"/>
              </w:rPr>
              <w:t>Flag impossible values based on documented domain/range checks; do not invent replacement values.</w:t>
            </w:r>
          </w:p>
        </w:tc>
      </w:tr>
      <w:tr>
        <w:tc>
          <w:tcPr>
            <w:tcW w:type="dxa" w:w="5040"/>
            <w:vAlign w:val="center"/>
          </w:tcPr>
          <w:p>
            <w:r/>
            <w:r>
              <w:rPr>
                <w:rFonts w:ascii="Arial" w:hAnsi="Arial"/>
                <w:b w:val="0"/>
                <w:sz w:val="19"/>
              </w:rPr>
              <w:t>Data types</w:t>
            </w:r>
          </w:p>
        </w:tc>
        <w:tc>
          <w:tcPr>
            <w:tcW w:type="dxa" w:w="5040"/>
            <w:vAlign w:val="center"/>
          </w:tcPr>
          <w:p>
            <w:r/>
            <w:r>
              <w:rPr>
                <w:rFonts w:ascii="Arial" w:hAnsi="Arial"/>
                <w:b w:val="0"/>
                <w:sz w:val="19"/>
              </w:rPr>
              <w:t>Convert numeric columns only after checking for parsing issues.</w:t>
            </w:r>
          </w:p>
        </w:tc>
      </w:tr>
      <w:tr>
        <w:tc>
          <w:tcPr>
            <w:tcW w:type="dxa" w:w="5040"/>
            <w:vAlign w:val="center"/>
          </w:tcPr>
          <w:p>
            <w:r/>
            <w:r>
              <w:rPr>
                <w:rFonts w:ascii="Arial" w:hAnsi="Arial"/>
                <w:b w:val="0"/>
                <w:sz w:val="19"/>
              </w:rPr>
              <w:t>Column names</w:t>
            </w:r>
          </w:p>
        </w:tc>
        <w:tc>
          <w:tcPr>
            <w:tcW w:type="dxa" w:w="5040"/>
            <w:vAlign w:val="center"/>
          </w:tcPr>
          <w:p>
            <w:r/>
            <w:r>
              <w:rPr>
                <w:rFonts w:ascii="Arial" w:hAnsi="Arial"/>
                <w:b w:val="0"/>
                <w:sz w:val="19"/>
              </w:rPr>
              <w:t>Standardize names only in the analysis copy; retain a clear mapping to original names.</w:t>
            </w:r>
          </w:p>
        </w:tc>
      </w:tr>
      <w:tr>
        <w:tc>
          <w:tcPr>
            <w:tcW w:type="dxa" w:w="5040"/>
            <w:vAlign w:val="center"/>
          </w:tcPr>
          <w:p>
            <w:r/>
            <w:r>
              <w:rPr>
                <w:rFonts w:ascii="Arial" w:hAnsi="Arial"/>
                <w:b w:val="0"/>
                <w:sz w:val="19"/>
              </w:rPr>
              <w:t>Reproducibility</w:t>
            </w:r>
          </w:p>
        </w:tc>
        <w:tc>
          <w:tcPr>
            <w:tcW w:type="dxa" w:w="5040"/>
            <w:vAlign w:val="center"/>
          </w:tcPr>
          <w:p>
            <w:r/>
            <w:r>
              <w:rPr>
                <w:rFonts w:ascii="Arial" w:hAnsi="Arial"/>
                <w:b w:val="0"/>
                <w:sz w:val="19"/>
              </w:rPr>
              <w:t>Keep raw input unchanged and perform transformations in a documented pipeline.</w:t>
            </w:r>
          </w:p>
        </w:tc>
      </w:tr>
    </w:tbl>
    <w:p/>
    <w:p>
      <w:pPr>
        <w:pStyle w:val="Heading1"/>
      </w:pPr>
      <w:r>
        <w:t>11. Python Libraries and Implementation Plan</w:t>
      </w:r>
    </w:p>
    <w:p>
      <w:pPr>
        <w:pStyle w:val="ListBullet"/>
      </w:pPr>
      <w:r>
        <w:t>Pandas: loading, cleaning, filtering, grouping and summary tables.</w:t>
      </w:r>
    </w:p>
    <w:p>
      <w:pPr>
        <w:pStyle w:val="ListBullet"/>
      </w:pPr>
      <w:r>
        <w:t>NumPy: numerical operations and robust calculations.</w:t>
      </w:r>
    </w:p>
    <w:p>
      <w:pPr>
        <w:pStyle w:val="ListBullet"/>
      </w:pPr>
      <w:r>
        <w:t>Matplotlib: foundational static plots and publication-ready figure control.</w:t>
      </w:r>
    </w:p>
    <w:p>
      <w:pPr>
        <w:pStyle w:val="ListBullet"/>
      </w:pPr>
      <w:r>
        <w:t>Seaborn: statistical visualizations such as box plots, histograms and heatmaps.</w:t>
      </w:r>
    </w:p>
    <w:p>
      <w:pPr>
        <w:pStyle w:val="ListBullet"/>
      </w:pPr>
      <w:r>
        <w:t>Plotly: optional interactive exploratory charts.</w:t>
      </w:r>
    </w:p>
    <w:p>
      <w:pPr>
        <w:pStyle w:val="ListBullet"/>
      </w:pPr>
      <w:r>
        <w:t>SciPy: statistical tests and distribution/correlation analysis where required.</w:t>
      </w:r>
    </w:p>
    <w:p>
      <w:pPr>
        <w:pStyle w:val="ListBullet"/>
      </w:pPr>
      <w:r>
        <w:t>Jupyter Notebook: transparent, step-by-step execution and documentation.</w:t>
      </w:r>
    </w:p>
    <w:p>
      <w:r>
        <w:t>The accompanying project folder contains an EDA notebook template with reproducible code for loading the dataset, checking quality, generating statistics and creating the planned visualizations.</w:t>
      </w:r>
    </w:p>
    <w:p>
      <w:pPr>
        <w:pStyle w:val="Heading1"/>
      </w:pPr>
      <w:r>
        <w:t>12. Expected Outputs and Insight Format</w:t>
      </w:r>
    </w:p>
    <w:p>
      <w:pPr>
        <w:pStyle w:val="ListBullet"/>
      </w:pPr>
      <w:r>
        <w:t>Data-quality summary table.</w:t>
      </w:r>
    </w:p>
    <w:p>
      <w:pPr>
        <w:pStyle w:val="ListBullet"/>
      </w:pPr>
      <w:r>
        <w:t>Descriptive-statistics table for all numerical variables.</w:t>
      </w:r>
    </w:p>
    <w:p>
      <w:pPr>
        <w:pStyle w:val="ListBullet"/>
      </w:pPr>
      <w:r>
        <w:t>Quality-score distribution chart.</w:t>
      </w:r>
    </w:p>
    <w:p>
      <w:pPr>
        <w:pStyle w:val="ListBullet"/>
      </w:pPr>
      <w:r>
        <w:t>Histogram/KDE and box-plot set for numerical variables.</w:t>
      </w:r>
    </w:p>
    <w:p>
      <w:pPr>
        <w:pStyle w:val="ListBullet"/>
      </w:pPr>
      <w:r>
        <w:t>Correlation heatmap.</w:t>
      </w:r>
    </w:p>
    <w:p>
      <w:pPr>
        <w:pStyle w:val="ListBullet"/>
      </w:pPr>
      <w:r>
        <w:t>Scatter plots for the most relevant variables versus quality.</w:t>
      </w:r>
    </w:p>
    <w:p>
      <w:pPr>
        <w:pStyle w:val="ListBullet"/>
      </w:pPr>
      <w:r>
        <w:t>Grouped box/violin plots by quality category.</w:t>
      </w:r>
    </w:p>
    <w:p>
      <w:pPr>
        <w:pStyle w:val="ListBullet"/>
      </w:pPr>
      <w:r>
        <w:t>Outlier summary with IQR-based flags.</w:t>
      </w:r>
    </w:p>
    <w:p>
      <w:pPr>
        <w:pStyle w:val="ListBullet"/>
      </w:pPr>
      <w:r>
        <w:t>A concise insight register containing observation, evidence, business/analytical meaning and limitation.</w:t>
      </w:r>
    </w:p>
    <w:p>
      <w:pPr>
        <w:pStyle w:val="Heading1"/>
      </w:pPr>
      <w:r>
        <w:t>13. Proposed 30–35 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Phase</w:t>
            </w:r>
          </w:p>
        </w:tc>
        <w:tc>
          <w:tcPr>
            <w:tcW w:type="dxa" w:w="3360"/>
            <w:vAlign w:val="center"/>
            <w:shd w:fill="D9EAF7"/>
          </w:tcPr>
          <w:p>
            <w:r/>
            <w:r>
              <w:rPr>
                <w:rFonts w:ascii="Arial" w:hAnsi="Arial"/>
                <w:b/>
                <w:sz w:val="19"/>
              </w:rPr>
              <w:t>Hours</w:t>
            </w:r>
          </w:p>
        </w:tc>
        <w:tc>
          <w:tcPr>
            <w:tcW w:type="dxa" w:w="3360"/>
            <w:vAlign w:val="center"/>
            <w:shd w:fill="D9EAF7"/>
          </w:tcPr>
          <w:p>
            <w:r/>
            <w:r>
              <w:rPr>
                <w:rFonts w:ascii="Arial" w:hAnsi="Arial"/>
                <w:b/>
                <w:sz w:val="19"/>
              </w:rPr>
              <w:t>Activities</w:t>
            </w:r>
          </w:p>
        </w:tc>
      </w:tr>
      <w:tr>
        <w:tc>
          <w:tcPr>
            <w:tcW w:type="dxa" w:w="3360"/>
            <w:vAlign w:val="center"/>
          </w:tcPr>
          <w:p>
            <w:r/>
            <w:r>
              <w:rPr>
                <w:rFonts w:ascii="Arial" w:hAnsi="Arial"/>
                <w:b w:val="0"/>
                <w:sz w:val="19"/>
              </w:rPr>
              <w:t>Dataset research &amp; setup</w:t>
            </w:r>
          </w:p>
        </w:tc>
        <w:tc>
          <w:tcPr>
            <w:tcW w:type="dxa" w:w="3360"/>
            <w:vAlign w:val="center"/>
          </w:tcPr>
          <w:p>
            <w:r/>
            <w:r>
              <w:rPr>
                <w:rFonts w:ascii="Arial" w:hAnsi="Arial"/>
                <w:b w:val="0"/>
                <w:sz w:val="19"/>
              </w:rPr>
              <w:t>3–4</w:t>
            </w:r>
          </w:p>
        </w:tc>
        <w:tc>
          <w:tcPr>
            <w:tcW w:type="dxa" w:w="3360"/>
            <w:vAlign w:val="center"/>
          </w:tcPr>
          <w:p>
            <w:r/>
            <w:r>
              <w:rPr>
                <w:rFonts w:ascii="Arial" w:hAnsi="Arial"/>
                <w:b w:val="0"/>
                <w:sz w:val="19"/>
              </w:rPr>
              <w:t>Dataset selection, source validation, environment and folder structure.</w:t>
            </w:r>
          </w:p>
        </w:tc>
      </w:tr>
      <w:tr>
        <w:tc>
          <w:tcPr>
            <w:tcW w:type="dxa" w:w="3360"/>
            <w:vAlign w:val="center"/>
          </w:tcPr>
          <w:p>
            <w:r/>
            <w:r>
              <w:rPr>
                <w:rFonts w:ascii="Arial" w:hAnsi="Arial"/>
                <w:b w:val="0"/>
                <w:sz w:val="19"/>
              </w:rPr>
              <w:t>Data audit &amp; cleaning plan</w:t>
            </w:r>
          </w:p>
        </w:tc>
        <w:tc>
          <w:tcPr>
            <w:tcW w:type="dxa" w:w="3360"/>
            <w:vAlign w:val="center"/>
          </w:tcPr>
          <w:p>
            <w:r/>
            <w:r>
              <w:rPr>
                <w:rFonts w:ascii="Arial" w:hAnsi="Arial"/>
                <w:b w:val="0"/>
                <w:sz w:val="19"/>
              </w:rPr>
              <w:t>5–6</w:t>
            </w:r>
          </w:p>
        </w:tc>
        <w:tc>
          <w:tcPr>
            <w:tcW w:type="dxa" w:w="3360"/>
            <w:vAlign w:val="center"/>
          </w:tcPr>
          <w:p>
            <w:r/>
            <w:r>
              <w:rPr>
                <w:rFonts w:ascii="Arial" w:hAnsi="Arial"/>
                <w:b w:val="0"/>
                <w:sz w:val="19"/>
              </w:rPr>
              <w:t>Structure, types, missing values, duplicates, ranges and documentation.</w:t>
            </w:r>
          </w:p>
        </w:tc>
      </w:tr>
      <w:tr>
        <w:tc>
          <w:tcPr>
            <w:tcW w:type="dxa" w:w="3360"/>
            <w:vAlign w:val="center"/>
          </w:tcPr>
          <w:p>
            <w:r/>
            <w:r>
              <w:rPr>
                <w:rFonts w:ascii="Arial" w:hAnsi="Arial"/>
                <w:b w:val="0"/>
                <w:sz w:val="19"/>
              </w:rPr>
              <w:t>Descriptive &amp; univariate EDA</w:t>
            </w:r>
          </w:p>
        </w:tc>
        <w:tc>
          <w:tcPr>
            <w:tcW w:type="dxa" w:w="3360"/>
            <w:vAlign w:val="center"/>
          </w:tcPr>
          <w:p>
            <w:r/>
            <w:r>
              <w:rPr>
                <w:rFonts w:ascii="Arial" w:hAnsi="Arial"/>
                <w:b w:val="0"/>
                <w:sz w:val="19"/>
              </w:rPr>
              <w:t>5–6</w:t>
            </w:r>
          </w:p>
        </w:tc>
        <w:tc>
          <w:tcPr>
            <w:tcW w:type="dxa" w:w="3360"/>
            <w:vAlign w:val="center"/>
          </w:tcPr>
          <w:p>
            <w:r/>
            <w:r>
              <w:rPr>
                <w:rFonts w:ascii="Arial" w:hAnsi="Arial"/>
                <w:b w:val="0"/>
                <w:sz w:val="19"/>
              </w:rPr>
              <w:t>Summary statistics, distributions, skewness and outlier screening.</w:t>
            </w:r>
          </w:p>
        </w:tc>
      </w:tr>
      <w:tr>
        <w:tc>
          <w:tcPr>
            <w:tcW w:type="dxa" w:w="3360"/>
            <w:vAlign w:val="center"/>
          </w:tcPr>
          <w:p>
            <w:r/>
            <w:r>
              <w:rPr>
                <w:rFonts w:ascii="Arial" w:hAnsi="Arial"/>
                <w:b w:val="0"/>
                <w:sz w:val="19"/>
              </w:rPr>
              <w:t>Bivariate &amp; correlation analysis</w:t>
            </w:r>
          </w:p>
        </w:tc>
        <w:tc>
          <w:tcPr>
            <w:tcW w:type="dxa" w:w="3360"/>
            <w:vAlign w:val="center"/>
          </w:tcPr>
          <w:p>
            <w:r/>
            <w:r>
              <w:rPr>
                <w:rFonts w:ascii="Arial" w:hAnsi="Arial"/>
                <w:b w:val="0"/>
                <w:sz w:val="19"/>
              </w:rPr>
              <w:t>6–7</w:t>
            </w:r>
          </w:p>
        </w:tc>
        <w:tc>
          <w:tcPr>
            <w:tcW w:type="dxa" w:w="3360"/>
            <w:vAlign w:val="center"/>
          </w:tcPr>
          <w:p>
            <w:r/>
            <w:r>
              <w:rPr>
                <w:rFonts w:ascii="Arial" w:hAnsi="Arial"/>
                <w:b w:val="0"/>
                <w:sz w:val="19"/>
              </w:rPr>
              <w:t>Scatter plots, group comparisons, Pearson/Spearman analysis.</w:t>
            </w:r>
          </w:p>
        </w:tc>
      </w:tr>
      <w:tr>
        <w:tc>
          <w:tcPr>
            <w:tcW w:type="dxa" w:w="3360"/>
            <w:vAlign w:val="center"/>
          </w:tcPr>
          <w:p>
            <w:r/>
            <w:r>
              <w:rPr>
                <w:rFonts w:ascii="Arial" w:hAnsi="Arial"/>
                <w:b w:val="0"/>
                <w:sz w:val="19"/>
              </w:rPr>
              <w:t>Visualization refinement</w:t>
            </w:r>
          </w:p>
        </w:tc>
        <w:tc>
          <w:tcPr>
            <w:tcW w:type="dxa" w:w="3360"/>
            <w:vAlign w:val="center"/>
          </w:tcPr>
          <w:p>
            <w:r/>
            <w:r>
              <w:rPr>
                <w:rFonts w:ascii="Arial" w:hAnsi="Arial"/>
                <w:b w:val="0"/>
                <w:sz w:val="19"/>
              </w:rPr>
              <w:t>4–5</w:t>
            </w:r>
          </w:p>
        </w:tc>
        <w:tc>
          <w:tcPr>
            <w:tcW w:type="dxa" w:w="3360"/>
            <w:vAlign w:val="center"/>
          </w:tcPr>
          <w:p>
            <w:r/>
            <w:r>
              <w:rPr>
                <w:rFonts w:ascii="Arial" w:hAnsi="Arial"/>
                <w:b w:val="0"/>
                <w:sz w:val="19"/>
              </w:rPr>
              <w:t>Improve labels, readability, narrative flow and interactive charts.</w:t>
            </w:r>
          </w:p>
        </w:tc>
      </w:tr>
      <w:tr>
        <w:tc>
          <w:tcPr>
            <w:tcW w:type="dxa" w:w="3360"/>
            <w:vAlign w:val="center"/>
          </w:tcPr>
          <w:p>
            <w:r/>
            <w:r>
              <w:rPr>
                <w:rFonts w:ascii="Arial" w:hAnsi="Arial"/>
                <w:b w:val="0"/>
                <w:sz w:val="19"/>
              </w:rPr>
              <w:t>Outlier/anomaly investigation</w:t>
            </w:r>
          </w:p>
        </w:tc>
        <w:tc>
          <w:tcPr>
            <w:tcW w:type="dxa" w:w="3360"/>
            <w:vAlign w:val="center"/>
          </w:tcPr>
          <w:p>
            <w:r/>
            <w:r>
              <w:rPr>
                <w:rFonts w:ascii="Arial" w:hAnsi="Arial"/>
                <w:b w:val="0"/>
                <w:sz w:val="19"/>
              </w:rPr>
              <w:t>3–4</w:t>
            </w:r>
          </w:p>
        </w:tc>
        <w:tc>
          <w:tcPr>
            <w:tcW w:type="dxa" w:w="3360"/>
            <w:vAlign w:val="center"/>
          </w:tcPr>
          <w:p>
            <w:r/>
            <w:r>
              <w:rPr>
                <w:rFonts w:ascii="Arial" w:hAnsi="Arial"/>
                <w:b w:val="0"/>
                <w:sz w:val="19"/>
              </w:rPr>
              <w:t>IQR/robust methods and documented treatment decisions.</w:t>
            </w:r>
          </w:p>
        </w:tc>
      </w:tr>
      <w:tr>
        <w:tc>
          <w:tcPr>
            <w:tcW w:type="dxa" w:w="3360"/>
            <w:vAlign w:val="center"/>
          </w:tcPr>
          <w:p>
            <w:r/>
            <w:r>
              <w:rPr>
                <w:rFonts w:ascii="Arial" w:hAnsi="Arial"/>
                <w:b w:val="0"/>
                <w:sz w:val="19"/>
              </w:rPr>
              <w:t>Report, QA &amp; final packaging</w:t>
            </w:r>
          </w:p>
        </w:tc>
        <w:tc>
          <w:tcPr>
            <w:tcW w:type="dxa" w:w="3360"/>
            <w:vAlign w:val="center"/>
          </w:tcPr>
          <w:p>
            <w:r/>
            <w:r>
              <w:rPr>
                <w:rFonts w:ascii="Arial" w:hAnsi="Arial"/>
                <w:b w:val="0"/>
                <w:sz w:val="19"/>
              </w:rPr>
              <w:t>4–5</w:t>
            </w:r>
          </w:p>
        </w:tc>
        <w:tc>
          <w:tcPr>
            <w:tcW w:type="dxa" w:w="3360"/>
            <w:vAlign w:val="center"/>
          </w:tcPr>
          <w:p>
            <w:r/>
            <w:r>
              <w:rPr>
                <w:rFonts w:ascii="Arial" w:hAnsi="Arial"/>
                <w:b w:val="0"/>
                <w:sz w:val="19"/>
              </w:rPr>
              <w:t>Write conclusions, verify reproducibility, review files and prepare submission.</w:t>
            </w:r>
          </w:p>
        </w:tc>
      </w:tr>
    </w:tbl>
    <w:p/>
    <w:p>
      <w:pPr>
        <w:pStyle w:val="Heading1"/>
      </w:pPr>
      <w:r>
        <w:t>14. Limitations and Responsible Interpretation</w:t>
      </w:r>
    </w:p>
    <w:p>
      <w:pPr>
        <w:pStyle w:val="ListBullet"/>
      </w:pPr>
      <w:r>
        <w:t>The dataset is observational; associations should not be interpreted as causal relationships.</w:t>
      </w:r>
    </w:p>
    <w:p>
      <w:pPr>
        <w:pStyle w:val="ListBullet"/>
      </w:pPr>
      <w:r>
        <w:t>Quality scores are subjective ratings and may reflect evaluator characteristics and context.</w:t>
      </w:r>
    </w:p>
    <w:p>
      <w:pPr>
        <w:pStyle w:val="ListBullet"/>
      </w:pPr>
      <w:r>
        <w:t>The dataset may not represent every wine producer, region, style or market.</w:t>
      </w:r>
    </w:p>
    <w:p>
      <w:pPr>
        <w:pStyle w:val="ListBullet"/>
      </w:pPr>
      <w:r>
        <w:t>Correlation does not establish causation, and highly correlated predictors may complicate later modelling.</w:t>
      </w:r>
    </w:p>
    <w:p>
      <w:pPr>
        <w:pStyle w:val="ListBullet"/>
      </w:pPr>
      <w:r>
        <w:t>Outlier rules are screening tools, not automatic evidence of bad data.</w:t>
      </w:r>
    </w:p>
    <w:p>
      <w:pPr>
        <w:pStyle w:val="ListBullet"/>
      </w:pPr>
      <w:r>
        <w:t>Any predictive model developed later should use proper train/test separation and avoid data leakage.</w:t>
      </w:r>
    </w:p>
    <w:p>
      <w:pPr>
        <w:pStyle w:val="Heading1"/>
      </w:pPr>
      <w:r>
        <w:t>15. Reproducibility Checklist</w:t>
      </w:r>
    </w:p>
    <w:p>
      <w:pPr>
        <w:pStyle w:val="ListBullet"/>
      </w:pPr>
      <w:r>
        <w:t>Record the dataset source and retrieval date in the notebook.</w:t>
      </w:r>
    </w:p>
    <w:p>
      <w:pPr>
        <w:pStyle w:val="ListBullet"/>
      </w:pPr>
      <w:r>
        <w:t>Use a fixed project structure: data/raw, data/processed, notebooks, outputs and report.</w:t>
      </w:r>
    </w:p>
    <w:p>
      <w:pPr>
        <w:pStyle w:val="ListBullet"/>
      </w:pPr>
      <w:r>
        <w:t>Set random seeds where randomized operations are used.</w:t>
      </w:r>
    </w:p>
    <w:p>
      <w:pPr>
        <w:pStyle w:val="ListBullet"/>
      </w:pPr>
      <w:r>
        <w:t>Record Python/library versions in requirements.txt.</w:t>
      </w:r>
    </w:p>
    <w:p>
      <w:pPr>
        <w:pStyle w:val="ListBullet"/>
      </w:pPr>
      <w:r>
        <w:t>Save important figures to the outputs folder.</w:t>
      </w:r>
    </w:p>
    <w:p>
      <w:pPr>
        <w:pStyle w:val="ListBullet"/>
      </w:pPr>
      <w:r>
        <w:t>Keep raw data unchanged and document all derived variables.</w:t>
      </w:r>
    </w:p>
    <w:p>
      <w:pPr>
        <w:pStyle w:val="ListBullet"/>
      </w:pPr>
      <w:r>
        <w:t>Ensure the notebook runs from top to bottom without hidden manual steps.</w:t>
      </w:r>
    </w:p>
    <w:p>
      <w:pPr>
        <w:pStyle w:val="Heading1"/>
      </w:pPr>
      <w:r>
        <w:t>16. Conclusion</w:t>
      </w:r>
    </w:p>
    <w:p>
      <w:r>
        <w:t>This EDA strategy provides a structured path from raw wine-quality observations to defensible analytical insights. It combines data-quality validation, descriptive statistics, distribution analysis, correlation methods, outlier investigation and purposeful visualization. The workflow is designed to prevent common analytical errors such as blind outlier deletion, over-reliance on averages, confusing correlation with causation and producing charts without a clear analytical question. The final EDA notebook and report will provide a reproducible foundation for a later predictive analytics model while clearly communicating what the data can and cannot support.</w:t>
      </w:r>
    </w:p>
    <w:p>
      <w:pPr>
        <w:pStyle w:val="Heading1"/>
      </w:pPr>
      <w:r>
        <w:t>17. References</w:t>
      </w:r>
    </w:p>
    <w:p>
      <w:pPr>
        <w:pStyle w:val="ListBullet"/>
      </w:pPr>
      <w:r>
        <w:t>UCI Machine Learning Repository – Wine Quality dataset: https://archive.ics.uci.edu/dataset/186/wine+quality</w:t>
      </w:r>
    </w:p>
    <w:p>
      <w:pPr>
        <w:pStyle w:val="ListBullet"/>
      </w:pPr>
      <w:r>
        <w:t>White wine data resource used by the notebook: https://archive.ics.uci.edu/ml/machine-learning-databases/wine-quality/winequality-white.csv</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p>
      <w:pPr>
        <w:pStyle w:val="ListBullet"/>
      </w:pPr>
      <w:r>
        <w:t>Plotly Python documentation: https://plotly.com/python/</w:t>
      </w:r>
    </w:p>
    <w:p>
      <w:pPr>
        <w:pStyle w:val="ListBullet"/>
      </w:pPr>
      <w:r>
        <w:t>SciPy documentation: https://docs.scipy.org/doc/scipy/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