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drawing>
          <wp:inline xmlns:a="http://schemas.openxmlformats.org/drawingml/2006/main" xmlns:pic="http://schemas.openxmlformats.org/drawingml/2006/picture">
            <wp:extent cx="1874519" cy="468630"/>
            <wp:docPr id="1" name="Picture 1" descr="SpeakSport logo" title="SpeakSport"/>
            <wp:cNvGraphicFramePr>
              <a:graphicFrameLocks noChangeAspect="1"/>
            </wp:cNvGraphicFramePr>
            <a:graphic>
              <a:graphicData uri="http://schemas.openxmlformats.org/drawingml/2006/picture">
                <pic:pic>
                  <pic:nvPicPr>
                    <pic:cNvPr id="0" name="speaksport-logo.png"/>
                    <pic:cNvPicPr/>
                  </pic:nvPicPr>
                  <pic:blipFill>
                    <a:blip r:embed="rId10"/>
                    <a:stretch>
                      <a:fillRect/>
                    </a:stretch>
                  </pic:blipFill>
                  <pic:spPr>
                    <a:xfrm>
                      <a:off x="0" y="0"/>
                      <a:ext cx="1874519" cy="468630"/>
                    </a:xfrm>
                    <a:prstGeom prst="rect"/>
                  </pic:spPr>
                </pic:pic>
              </a:graphicData>
            </a:graphic>
          </wp:inline>
        </w:drawing>
      </w:r>
    </w:p>
    <w:p>
      <w:pPr>
        <w:spacing w:after="0"/>
      </w:pPr>
      <w:r>
        <w:rPr>
          <w:rFonts w:ascii="Calibri" w:hAnsi="Calibri"/>
          <w:b/>
          <w:color w:val="008A45"/>
          <w:sz w:val="17"/>
        </w:rPr>
        <w:t>CUSTOMER PERFORMANCE UPDATE</w:t>
      </w:r>
    </w:p>
    <w:p>
      <w:pPr>
        <w:spacing w:before="0" w:after="40"/>
      </w:pPr>
      <w:r>
        <w:rPr>
          <w:rFonts w:ascii="Calibri" w:hAnsi="Calibri"/>
          <w:b/>
          <w:color w:val="17221C"/>
          <w:sz w:val="50"/>
        </w:rPr>
        <w:t>Gypsum Creek Golf Course</w:t>
      </w:r>
    </w:p>
    <w:p>
      <w:pPr>
        <w:spacing w:after="140"/>
      </w:pPr>
      <w:r>
        <w:rPr>
          <w:rFonts w:ascii="Calibri" w:hAnsi="Calibri"/>
          <w:color w:val="5F6B64"/>
          <w:sz w:val="19"/>
        </w:rPr>
        <w:t>Since launch · dashboard view: Last 1 Year · Direct booking integration · Prepared 31 July 2026</w:t>
      </w:r>
    </w:p>
    <w:p>
      <w:pPr>
        <w:pStyle w:val="Heading1"/>
      </w:pPr>
      <w:r>
        <w:t>Performance at a glance</w:t>
      </w:r>
    </w:p>
    <w:tbl>
      <w:tblPr>
        <w:tblW w:type="dxa" w:w="9360"/>
        <w:jc w:val="left"/>
        <w:tblLayout w:type="fixed"/>
        <w:tblLook w:firstColumn="1" w:firstRow="1" w:lastColumn="0" w:lastRow="0" w:noHBand="0" w:noVBand="1" w:val="04A0"/>
        <w:tblInd w:w="120" w:type="dxa"/>
        <w:tblBorders>
          <w:top w:val="single" w:sz="5" w:color="D7E4DC"/>
          <w:left w:val="single" w:sz="5" w:color="D7E4DC"/>
          <w:bottom w:val="single" w:sz="5" w:color="D7E4DC"/>
          <w:right w:val="single" w:sz="5" w:color="D7E4DC"/>
          <w:insideH w:val="single" w:sz="5" w:color="D7E4DC"/>
          <w:insideV w:val="single" w:sz="5" w:color="D7E4DC"/>
        </w:tblBorders>
      </w:tblPr>
      <w:tblGrid>
        <w:gridCol w:w="4680"/>
        <w:gridCol w:w="4680"/>
      </w:tblGrid>
      <w:tr>
        <w:tc>
          <w:tcPr>
            <w:tcW w:type="dxa" w:w="4680"/>
            <w:tcMar>
              <w:top w:w="120" w:type="dxa"/>
              <w:bottom w:w="120" w:type="dxa"/>
              <w:start w:w="150" w:type="dxa"/>
              <w:end w:w="150" w:type="dxa"/>
            </w:tcMar>
            <w:vAlign w:val="center"/>
            <w:shd w:fill="EAF6EF"/>
          </w:tcPr>
          <w:p>
            <w:pPr>
              <w:spacing w:after="0" w:before="0" w:line="240" w:lineRule="auto"/>
              <w:jc w:val="left"/>
            </w:pPr>
            <w:r>
              <w:rPr>
                <w:rFonts w:ascii="Calibri" w:hAnsi="Calibri"/>
                <w:b/>
                <w:color w:val="00633A"/>
                <w:sz w:val="42"/>
              </w:rPr>
              <w:t>3,927</w:t>
            </w:r>
          </w:p>
          <w:p>
            <w:pPr>
              <w:spacing w:after="0" w:before="0" w:line="240" w:lineRule="auto"/>
            </w:pPr>
            <w:r>
              <w:rPr>
                <w:rFonts w:ascii="Calibri" w:hAnsi="Calibri"/>
                <w:b/>
                <w:color w:val="5F6B64"/>
                <w:sz w:val="19"/>
              </w:rPr>
              <w:t>Calls handled</w:t>
            </w:r>
          </w:p>
        </w:tc>
        <w:tc>
          <w:tcPr>
            <w:tcW w:type="dxa" w:w="4680"/>
            <w:tcMar>
              <w:top w:w="120" w:type="dxa"/>
              <w:bottom w:w="120" w:type="dxa"/>
              <w:start w:w="150" w:type="dxa"/>
              <w:end w:w="150" w:type="dxa"/>
            </w:tcMar>
            <w:vAlign w:val="center"/>
            <w:shd w:fill="F3F5F4"/>
          </w:tcPr>
          <w:p>
            <w:pPr>
              <w:spacing w:after="0" w:before="0" w:line="240" w:lineRule="auto"/>
              <w:jc w:val="left"/>
            </w:pPr>
            <w:r>
              <w:rPr>
                <w:rFonts w:ascii="Calibri" w:hAnsi="Calibri"/>
                <w:b/>
                <w:color w:val="00633A"/>
                <w:sz w:val="42"/>
              </w:rPr>
              <w:t>31</w:t>
            </w:r>
          </w:p>
          <w:p>
            <w:pPr>
              <w:spacing w:after="0" w:before="0" w:line="240" w:lineRule="auto"/>
            </w:pPr>
            <w:r>
              <w:rPr>
                <w:rFonts w:ascii="Calibri" w:hAnsi="Calibri"/>
                <w:b/>
                <w:color w:val="5F6B64"/>
                <w:sz w:val="19"/>
              </w:rPr>
              <w:t>Bookings completed</w:t>
            </w:r>
          </w:p>
        </w:tc>
      </w:tr>
      <w:tr>
        <w:tc>
          <w:tcPr>
            <w:tcW w:type="dxa" w:w="4680"/>
            <w:tcMar>
              <w:top w:w="120" w:type="dxa"/>
              <w:bottom w:w="120" w:type="dxa"/>
              <w:start w:w="150" w:type="dxa"/>
              <w:end w:w="150" w:type="dxa"/>
            </w:tcMar>
            <w:vAlign w:val="center"/>
            <w:shd w:fill="EAF6EF"/>
          </w:tcPr>
          <w:p>
            <w:pPr>
              <w:spacing w:after="0" w:before="0" w:line="240" w:lineRule="auto"/>
              <w:jc w:val="left"/>
            </w:pPr>
            <w:r>
              <w:rPr>
                <w:rFonts w:ascii="Calibri" w:hAnsi="Calibri"/>
                <w:b/>
                <w:color w:val="00633A"/>
                <w:sz w:val="42"/>
              </w:rPr>
              <w:t>$5,190.00</w:t>
            </w:r>
          </w:p>
          <w:p>
            <w:pPr>
              <w:spacing w:after="0" w:before="0" w:line="240" w:lineRule="auto"/>
            </w:pPr>
            <w:r>
              <w:rPr>
                <w:rFonts w:ascii="Calibri" w:hAnsi="Calibri"/>
                <w:b/>
                <w:color w:val="5F6B64"/>
                <w:sz w:val="19"/>
              </w:rPr>
              <w:t>Booking revenue</w:t>
            </w:r>
          </w:p>
        </w:tc>
        <w:tc>
          <w:tcPr>
            <w:tcW w:type="dxa" w:w="4680"/>
            <w:tcMar>
              <w:top w:w="120" w:type="dxa"/>
              <w:bottom w:w="120" w:type="dxa"/>
              <w:start w:w="150" w:type="dxa"/>
              <w:end w:w="150" w:type="dxa"/>
            </w:tcMar>
            <w:vAlign w:val="center"/>
            <w:shd w:fill="F3F5F4"/>
          </w:tcPr>
          <w:p>
            <w:pPr>
              <w:spacing w:after="0" w:before="0" w:line="240" w:lineRule="auto"/>
              <w:jc w:val="left"/>
            </w:pPr>
            <w:r>
              <w:rPr>
                <w:rFonts w:ascii="Calibri" w:hAnsi="Calibri"/>
                <w:b/>
                <w:color w:val="00633A"/>
                <w:sz w:val="42"/>
              </w:rPr>
              <w:t>48h 37m</w:t>
            </w:r>
          </w:p>
          <w:p>
            <w:pPr>
              <w:spacing w:after="0" w:before="0" w:line="240" w:lineRule="auto"/>
            </w:pPr>
            <w:r>
              <w:rPr>
                <w:rFonts w:ascii="Calibri" w:hAnsi="Calibri"/>
                <w:b/>
                <w:color w:val="5F6B64"/>
                <w:sz w:val="19"/>
              </w:rPr>
              <w:t>Time saved</w:t>
            </w:r>
          </w:p>
        </w:tc>
      </w:tr>
    </w:tbl>
    <w:p>
      <w:pPr>
        <w:spacing w:after="0"/>
      </w:pPr>
    </w:p>
    <w:p>
      <w:pPr>
        <w:spacing w:before="100" w:after="40"/>
        <w:ind w:left="144" w:right="72"/>
        <w:shd w:fill="FFF7E5"/>
        <w:pBdr>
          <w:left w:val="single" w:sz="18" w:space="8" w:color="D39A00"/>
        </w:pBdr>
      </w:pPr>
      <w:r>
        <w:rPr>
          <w:rFonts w:ascii="Calibri" w:hAnsi="Calibri"/>
          <w:b/>
          <w:color w:val="7A5A00"/>
          <w:sz w:val="18"/>
        </w:rPr>
        <w:t xml:space="preserve">A focused early read. </w:t>
      </w:r>
      <w:r>
        <w:rPr>
          <w:rFonts w:ascii="Calibri" w:hAnsi="Calibri"/>
          <w:color w:val="17221C"/>
          <w:sz w:val="18"/>
        </w:rPr>
        <w:t>Direct booking went live on 28 July. Booking and booking-revenue figures therefore reflect the first four days of the new experience; calls handled and time saved reflect the broader service period shown in the dashboard.</w:t>
      </w:r>
    </w:p>
    <w:p>
      <w:pPr>
        <w:spacing w:before="0" w:after="60"/>
      </w:pPr>
      <w:r>
        <w:rPr>
          <w:rFonts w:ascii="Calibri" w:hAnsi="Calibri"/>
          <w:b/>
          <w:color w:val="008A45"/>
          <w:sz w:val="16"/>
        </w:rPr>
        <w:t>AFTER-HOURS IMPACT</w:t>
      </w:r>
    </w:p>
    <w:tbl>
      <w:tblPr>
        <w:tblW w:type="dxa" w:w="9360"/>
        <w:jc w:val="left"/>
        <w:tblLayout w:type="fixed"/>
        <w:tblLook w:firstColumn="1" w:firstRow="1" w:lastColumn="0" w:lastRow="0" w:noHBand="0" w:noVBand="1" w:val="04A0"/>
        <w:tblInd w:w="120" w:type="dxa"/>
        <w:tblBorders>
          <w:top w:val="single" w:sz="4" w:color="008A45"/>
          <w:left w:val="single" w:sz="4" w:color="008A45"/>
          <w:bottom w:val="single" w:sz="4" w:color="008A45"/>
          <w:right w:val="single" w:sz="4" w:color="008A45"/>
          <w:insideH w:val="single" w:sz="4" w:color="008A45"/>
          <w:insideV w:val="single" w:sz="4" w:color="008A45"/>
        </w:tblBorders>
      </w:tblPr>
      <w:tblGrid>
        <w:gridCol w:w="3120"/>
        <w:gridCol w:w="3120"/>
        <w:gridCol w:w="3120"/>
      </w:tblGrid>
      <w:tr>
        <w:tc>
          <w:tcPr>
            <w:tcW w:type="dxa" w:w="3120"/>
            <w:tcMar>
              <w:top w:w="120" w:type="dxa"/>
              <w:bottom w:w="120" w:type="dxa"/>
              <w:start w:w="150" w:type="dxa"/>
              <w:end w:w="150" w:type="dxa"/>
            </w:tcMar>
            <w:vAlign w:val="center"/>
            <w:shd w:fill="008A45"/>
          </w:tcPr>
          <w:p>
            <w:pPr>
              <w:spacing w:before="0" w:after="0" w:line="240" w:lineRule="auto"/>
              <w:jc w:val="center"/>
            </w:pPr>
            <w:r>
              <w:rPr>
                <w:rFonts w:ascii="Calibri" w:hAnsi="Calibri"/>
                <w:b/>
                <w:color w:val="FFFFFF"/>
                <w:sz w:val="27"/>
              </w:rPr>
              <w:t>408</w:t>
            </w:r>
          </w:p>
          <w:p>
            <w:pPr>
              <w:spacing w:before="0" w:after="0" w:line="240" w:lineRule="auto"/>
              <w:jc w:val="center"/>
            </w:pPr>
            <w:r>
              <w:rPr>
                <w:rFonts w:ascii="Calibri" w:hAnsi="Calibri"/>
                <w:b/>
                <w:color w:val="FFFFFF"/>
                <w:sz w:val="15"/>
              </w:rPr>
              <w:t>Calls</w:t>
            </w:r>
          </w:p>
        </w:tc>
        <w:tc>
          <w:tcPr>
            <w:tcW w:type="dxa" w:w="3120"/>
            <w:tcMar>
              <w:top w:w="120" w:type="dxa"/>
              <w:bottom w:w="120" w:type="dxa"/>
              <w:start w:w="150" w:type="dxa"/>
              <w:end w:w="150" w:type="dxa"/>
            </w:tcMar>
            <w:vAlign w:val="center"/>
            <w:shd w:fill="008A45"/>
          </w:tcPr>
          <w:p>
            <w:pPr>
              <w:spacing w:before="0" w:after="0" w:line="240" w:lineRule="auto"/>
              <w:jc w:val="center"/>
            </w:pPr>
            <w:r>
              <w:rPr>
                <w:rFonts w:ascii="Calibri" w:hAnsi="Calibri"/>
                <w:b/>
                <w:color w:val="FFFFFF"/>
                <w:sz w:val="27"/>
              </w:rPr>
              <w:t>17</w:t>
            </w:r>
          </w:p>
          <w:p>
            <w:pPr>
              <w:spacing w:before="0" w:after="0" w:line="240" w:lineRule="auto"/>
              <w:jc w:val="center"/>
            </w:pPr>
            <w:r>
              <w:rPr>
                <w:rFonts w:ascii="Calibri" w:hAnsi="Calibri"/>
                <w:b/>
                <w:color w:val="FFFFFF"/>
                <w:sz w:val="15"/>
              </w:rPr>
              <w:t>Bookings</w:t>
            </w:r>
          </w:p>
        </w:tc>
        <w:tc>
          <w:tcPr>
            <w:tcW w:type="dxa" w:w="3120"/>
            <w:tcMar>
              <w:top w:w="120" w:type="dxa"/>
              <w:bottom w:w="120" w:type="dxa"/>
              <w:start w:w="150" w:type="dxa"/>
              <w:end w:w="150" w:type="dxa"/>
            </w:tcMar>
            <w:vAlign w:val="center"/>
            <w:shd w:fill="008A45"/>
          </w:tcPr>
          <w:p>
            <w:pPr>
              <w:spacing w:before="0" w:after="0" w:line="240" w:lineRule="auto"/>
              <w:jc w:val="center"/>
            </w:pPr>
            <w:r>
              <w:rPr>
                <w:rFonts w:ascii="Calibri" w:hAnsi="Calibri"/>
                <w:b/>
                <w:color w:val="FFFFFF"/>
                <w:sz w:val="27"/>
              </w:rPr>
              <w:t>$2,680.00</w:t>
            </w:r>
          </w:p>
          <w:p>
            <w:pPr>
              <w:spacing w:before="0" w:after="0" w:line="240" w:lineRule="auto"/>
              <w:jc w:val="center"/>
            </w:pPr>
            <w:r>
              <w:rPr>
                <w:rFonts w:ascii="Calibri" w:hAnsi="Calibri"/>
                <w:b/>
                <w:color w:val="FFFFFF"/>
                <w:sz w:val="15"/>
              </w:rPr>
              <w:t>Booking revenue</w:t>
            </w:r>
          </w:p>
        </w:tc>
      </w:tr>
    </w:tbl>
    <w:p>
      <w:pPr>
        <w:pStyle w:val="Heading1"/>
      </w:pPr>
      <w:r>
        <w:t>What has worked brilliantly</w:t>
      </w:r>
    </w:p>
    <w:p>
      <w:pPr>
        <w:spacing w:after="40"/>
      </w:pPr>
      <w:r>
        <w:rPr>
          <w:rFonts w:ascii="Calibri" w:hAnsi="Calibri"/>
          <w:color w:val="5F6B64"/>
          <w:sz w:val="19"/>
        </w:rPr>
        <w:t>A review of 194 calls from 28–31 July 2026 showed three especially strong patterns:</w:t>
      </w:r>
    </w:p>
    <w:p>
      <w:pPr>
        <w:spacing w:before="100" w:after="40"/>
      </w:pPr>
      <w:r>
        <w:rPr>
          <w:rFonts w:ascii="Calibri" w:hAnsi="Calibri"/>
          <w:b/>
          <w:color w:val="00633A"/>
          <w:sz w:val="23"/>
        </w:rPr>
        <w:t>The new booking workflow was used successfully on day one</w:t>
      </w:r>
    </w:p>
    <w:p>
      <w:pPr>
        <w:spacing w:after="60"/>
      </w:pPr>
      <w:r>
        <w:rPr>
          <w:rFonts w:ascii="Calibri" w:hAnsi="Calibri"/>
          <w:color w:val="17221C"/>
          <w:sz w:val="19"/>
        </w:rPr>
        <w:t>On the first day of direct booking, a caller requested a same-day 2:42 PM tee time for two players. SpeakSport surfaced the available choices, secured the requested time and confirmed the 18-hole reservation with carts.</w:t>
      </w:r>
    </w:p>
    <w:p>
      <w:pPr>
        <w:spacing w:before="0" w:after="40" w:line="252" w:lineRule="auto"/>
        <w:ind w:left="158" w:right="72"/>
        <w:shd w:fill="EAF6EF"/>
        <w:pBdr>
          <w:left w:val="single" w:sz="18" w:space="8" w:color="008A45"/>
        </w:pBdr>
      </w:pPr>
      <w:r>
        <w:rPr>
          <w:rFonts w:ascii="Calibri" w:hAnsi="Calibri"/>
          <w:i/>
          <w:color w:val="17221C"/>
          <w:sz w:val="18"/>
        </w:rPr>
        <w:t>“You’ve got it—two players today at 2:42 PM, eighteen holes at Gypsum Creek Golf Course with carts.”</w:t>
      </w:r>
    </w:p>
    <w:p>
      <w:pPr>
        <w:spacing w:after="20"/>
      </w:pPr>
      <w:r>
        <w:rPr>
          <w:rFonts w:ascii="Calibri" w:hAnsi="Calibri"/>
          <w:b/>
          <w:color w:val="5F6B64"/>
          <w:sz w:val="16"/>
        </w:rPr>
        <w:t>Call on 28 July at 5:44 PM</w:t>
      </w:r>
    </w:p>
    <w:p>
      <w:pPr>
        <w:spacing w:before="100" w:after="40"/>
      </w:pPr>
      <w:r>
        <w:rPr>
          <w:rFonts w:ascii="Calibri" w:hAnsi="Calibri"/>
          <w:b/>
          <w:color w:val="00633A"/>
          <w:sz w:val="23"/>
        </w:rPr>
        <w:t>An exact four-player request was booked without a handoff</w:t>
      </w:r>
    </w:p>
    <w:p>
      <w:pPr>
        <w:spacing w:after="60"/>
      </w:pPr>
      <w:r>
        <w:rPr>
          <w:rFonts w:ascii="Calibri" w:hAnsi="Calibri"/>
          <w:color w:val="17221C"/>
          <w:sz w:val="19"/>
        </w:rPr>
        <w:t>A caller asked for 1:42 PM the following day for four players and 18 holes. SpeakSport verified availability at the requested time, captured the reservation details and confirmed the booking with carts included.</w:t>
      </w:r>
    </w:p>
    <w:p>
      <w:pPr>
        <w:spacing w:before="0" w:after="40" w:line="252" w:lineRule="auto"/>
        <w:ind w:left="158" w:right="72"/>
        <w:shd w:fill="EAF6EF"/>
        <w:pBdr>
          <w:left w:val="single" w:sz="18" w:space="8" w:color="008A45"/>
        </w:pBdr>
      </w:pPr>
      <w:r>
        <w:rPr>
          <w:rFonts w:ascii="Calibri" w:hAnsi="Calibri"/>
          <w:i/>
          <w:color w:val="17221C"/>
          <w:sz w:val="18"/>
        </w:rPr>
        <w:t>“I have a tee time available tomorrow … at 1:42 PM for four players playing eighteen holes.” The reservation was then confirmed during the call.</w:t>
      </w:r>
    </w:p>
    <w:p>
      <w:pPr>
        <w:spacing w:after="20"/>
      </w:pPr>
      <w:r>
        <w:rPr>
          <w:rFonts w:ascii="Calibri" w:hAnsi="Calibri"/>
          <w:b/>
          <w:color w:val="5F6B64"/>
          <w:sz w:val="16"/>
        </w:rPr>
        <w:t>Call on 29 July at 9:50 PM</w:t>
      </w:r>
    </w:p>
    <w:p>
      <w:pPr>
        <w:spacing w:before="100" w:after="40"/>
      </w:pPr>
      <w:r>
        <w:rPr>
          <w:rFonts w:ascii="Calibri" w:hAnsi="Calibri"/>
          <w:b/>
          <w:color w:val="00633A"/>
          <w:sz w:val="23"/>
        </w:rPr>
        <w:t>A near-time alternative became a confirmed group booking</w:t>
      </w:r>
    </w:p>
    <w:p>
      <w:pPr>
        <w:spacing w:after="60"/>
      </w:pPr>
      <w:r>
        <w:rPr>
          <w:rFonts w:ascii="Calibri" w:hAnsi="Calibri"/>
          <w:color w:val="17221C"/>
          <w:sz w:val="19"/>
        </w:rPr>
        <w:t>When a four-player group asked for 3:00 PM on Saturday, SpeakSport gave nearby nine-hole options. The caller selected 3:06 PM, and the tee time was confirmed with carts included.</w:t>
      </w:r>
    </w:p>
    <w:p>
      <w:pPr>
        <w:spacing w:before="0" w:after="40" w:line="252" w:lineRule="auto"/>
        <w:ind w:left="158" w:right="72"/>
        <w:shd w:fill="EAF6EF"/>
        <w:pBdr>
          <w:left w:val="single" w:sz="18" w:space="8" w:color="008A45"/>
        </w:pBdr>
      </w:pPr>
      <w:r>
        <w:rPr>
          <w:rFonts w:ascii="Calibri" w:hAnsi="Calibri"/>
          <w:i/>
          <w:color w:val="17221C"/>
          <w:sz w:val="18"/>
        </w:rPr>
        <w:t>“I found a few options close to 3:00 PM … 2:18 PM, 3:06 PM, 3:18 PM, and 3:30 PM.”</w:t>
      </w:r>
    </w:p>
    <w:p>
      <w:pPr>
        <w:spacing w:after="20"/>
      </w:pPr>
      <w:r>
        <w:rPr>
          <w:rFonts w:ascii="Calibri" w:hAnsi="Calibri"/>
          <w:b/>
          <w:color w:val="5F6B64"/>
          <w:sz w:val="16"/>
        </w:rPr>
        <w:t>Call on 29 July at 5:15 PM</w:t>
      </w:r>
    </w:p>
    <w:p>
      <w:r>
        <w:br w:type="page"/>
      </w:r>
    </w:p>
    <w:p>
      <w:pPr>
        <w:spacing w:after="100"/>
      </w:pPr>
      <w:r>
        <w:drawing>
          <wp:inline xmlns:a="http://schemas.openxmlformats.org/drawingml/2006/main" xmlns:pic="http://schemas.openxmlformats.org/drawingml/2006/picture">
            <wp:extent cx="1508760" cy="377190"/>
            <wp:docPr id="2" name="Picture 2" descr="SpeakSport logo" title="SpeakSport"/>
            <wp:cNvGraphicFramePr>
              <a:graphicFrameLocks noChangeAspect="1"/>
            </wp:cNvGraphicFramePr>
            <a:graphic>
              <a:graphicData uri="http://schemas.openxmlformats.org/drawingml/2006/picture">
                <pic:pic>
                  <pic:nvPicPr>
                    <pic:cNvPr id="0" name="speaksport-logo.png"/>
                    <pic:cNvPicPr/>
                  </pic:nvPicPr>
                  <pic:blipFill>
                    <a:blip r:embed="rId10"/>
                    <a:stretch>
                      <a:fillRect/>
                    </a:stretch>
                  </pic:blipFill>
                  <pic:spPr>
                    <a:xfrm>
                      <a:off x="0" y="0"/>
                      <a:ext cx="1508760" cy="377190"/>
                    </a:xfrm>
                    <a:prstGeom prst="rect"/>
                  </pic:spPr>
                </pic:pic>
              </a:graphicData>
            </a:graphic>
          </wp:inline>
        </w:drawing>
      </w:r>
    </w:p>
    <w:p>
      <w:pPr>
        <w:pStyle w:val="Heading1"/>
      </w:pPr>
      <w:r>
        <w:t>What we have rolled out</w:t>
      </w:r>
    </w:p>
    <w:p>
      <w:r>
        <w:rPr>
          <w:rFonts w:ascii="Calibri" w:hAnsi="Calibri"/>
          <w:color w:val="17221C"/>
          <w:sz w:val="21"/>
        </w:rPr>
        <w:t>We have continued strengthening the integrated experience around booking accuracy, reservation servicing and clearer operational insight.</w:t>
      </w:r>
    </w:p>
    <w:p>
      <w:pPr>
        <w:keepLines/>
        <w:spacing w:before="80" w:after="40"/>
      </w:pPr>
      <w:r>
        <w:rPr>
          <w:rFonts w:ascii="Calibri" w:hAnsi="Calibri"/>
          <w:b/>
          <w:color w:val="00633A"/>
          <w:sz w:val="21"/>
        </w:rPr>
        <w:t xml:space="preserve">Cancellations on the call. </w:t>
      </w:r>
      <w:r>
        <w:rPr>
          <w:rFonts w:ascii="Calibri" w:hAnsi="Calibri"/>
          <w:color w:val="17221C"/>
          <w:sz w:val="21"/>
        </w:rPr>
        <w:t>Golfers can now cancel eligible bookings directly with SpeakSport, reducing avoidable transfers and making it easier to release tee times promptly.</w:t>
      </w:r>
    </w:p>
    <w:p>
      <w:pPr>
        <w:keepLines/>
        <w:spacing w:before="80" w:after="40"/>
      </w:pPr>
      <w:r>
        <w:rPr>
          <w:rFonts w:ascii="Calibri" w:hAnsi="Calibri"/>
          <w:b/>
          <w:color w:val="00633A"/>
          <w:sz w:val="21"/>
        </w:rPr>
        <w:t xml:space="preserve">Stronger booking-eligibility verification. </w:t>
      </w:r>
      <w:r>
        <w:rPr>
          <w:rFonts w:ascii="Calibri" w:hAnsi="Calibri"/>
          <w:color w:val="17221C"/>
          <w:sz w:val="21"/>
        </w:rPr>
        <w:t>Booking windows, customer context and other applicable booking rules are checked before a reservation is created.</w:t>
      </w:r>
    </w:p>
    <w:p>
      <w:pPr>
        <w:keepLines/>
        <w:spacing w:before="80" w:after="40"/>
      </w:pPr>
      <w:r>
        <w:rPr>
          <w:rFonts w:ascii="Calibri" w:hAnsi="Calibri"/>
          <w:b/>
          <w:color w:val="00633A"/>
          <w:sz w:val="21"/>
        </w:rPr>
        <w:t xml:space="preserve">Upcoming-booking confirmations. </w:t>
      </w:r>
      <w:r>
        <w:rPr>
          <w:rFonts w:ascii="Calibri" w:hAnsi="Calibri"/>
          <w:color w:val="17221C"/>
          <w:sz w:val="21"/>
        </w:rPr>
        <w:t>When golfers ask about an upcoming reservation, SpeakSport can retrieve and confirm the booking details during the call.</w:t>
      </w:r>
    </w:p>
    <w:p>
      <w:pPr>
        <w:keepLines/>
        <w:spacing w:before="80" w:after="40"/>
      </w:pPr>
      <w:r>
        <w:rPr>
          <w:rFonts w:ascii="Calibri" w:hAnsi="Calibri"/>
          <w:b/>
          <w:color w:val="00633A"/>
          <w:sz w:val="21"/>
        </w:rPr>
        <w:t xml:space="preserve">Richer back-office reporting. </w:t>
      </w:r>
      <w:r>
        <w:rPr>
          <w:rFonts w:ascii="Calibri" w:hAnsi="Calibri"/>
          <w:color w:val="17221C"/>
          <w:sz w:val="21"/>
        </w:rPr>
        <w:t>The dashboard now supports filtering calls by intent, category and outcome, making performance patterns and operational opportunities easier to find.</w:t>
      </w:r>
    </w:p>
    <w:p>
      <w:pPr>
        <w:pStyle w:val="Heading1"/>
      </w:pPr>
      <w:r>
        <w:t>Building the next chapter together</w:t>
      </w:r>
    </w:p>
    <w:p>
      <w:pPr>
        <w:spacing w:after="140"/>
      </w:pPr>
      <w:r>
        <w:rPr>
          <w:rFonts w:ascii="Calibri" w:hAnsi="Calibri"/>
          <w:color w:val="17221C"/>
          <w:sz w:val="21"/>
        </w:rPr>
        <w:t>We will continue enriching SpeakSport with capabilities such as self-serve knowledge-base updates and even better reporting. We would love Gypsum Creek to remain part of that journey—please keep sharing feedback, ideas and initiatives you would like us to explore.</w:t>
      </w:r>
    </w:p>
    <w:p>
      <w:pPr>
        <w:spacing w:before="60" w:after="60"/>
      </w:pPr>
      <w:r>
        <w:rPr>
          <w:rFonts w:ascii="Calibri" w:hAnsi="Calibri"/>
          <w:b/>
          <w:color w:val="008A45"/>
          <w:sz w:val="16"/>
        </w:rPr>
        <w:t>NEAR-TERM DIRECTION</w:t>
      </w:r>
    </w:p>
    <w:tbl>
      <w:tblPr>
        <w:tblW w:type="dxa" w:w="9360"/>
        <w:jc w:val="left"/>
        <w:tblLayout w:type="fixed"/>
        <w:tblLook w:firstColumn="1" w:firstRow="1" w:lastColumn="0" w:lastRow="0" w:noHBand="0" w:noVBand="1" w:val="04A0"/>
        <w:tblInd w:w="120" w:type="dxa"/>
        <w:tblBorders>
          <w:top w:val="single" w:sz="5" w:color="D7E4DC"/>
          <w:left w:val="single" w:sz="5" w:color="D7E4DC"/>
          <w:bottom w:val="single" w:sz="5" w:color="D7E4DC"/>
          <w:right w:val="single" w:sz="5" w:color="D7E4DC"/>
          <w:insideH w:val="single" w:sz="5" w:color="D7E4DC"/>
          <w:insideV w:val="single" w:sz="5" w:color="D7E4DC"/>
        </w:tblBorders>
      </w:tblPr>
      <w:tblGrid>
        <w:gridCol w:w="4680"/>
        <w:gridCol w:w="4680"/>
      </w:tblGrid>
      <w:tr>
        <w:tc>
          <w:tcPr>
            <w:tcW w:type="dxa" w:w="4680"/>
            <w:tcMar>
              <w:top w:w="120" w:type="dxa"/>
              <w:bottom w:w="120" w:type="dxa"/>
              <w:start w:w="150" w:type="dxa"/>
              <w:end w:w="150" w:type="dxa"/>
            </w:tcMar>
            <w:vAlign w:val="center"/>
            <w:shd w:fill="EAF6EF"/>
          </w:tcPr>
          <w:p>
            <w:pPr>
              <w:spacing w:after="40"/>
            </w:pPr>
            <w:r>
              <w:rPr>
                <w:rFonts w:ascii="Calibri" w:hAnsi="Calibri"/>
                <w:b/>
                <w:color w:val="00633A"/>
                <w:sz w:val="22"/>
              </w:rPr>
              <w:t>Self-serve knowledge base</w:t>
            </w:r>
          </w:p>
          <w:p>
            <w:pPr>
              <w:spacing w:after="0"/>
            </w:pPr>
            <w:r>
              <w:rPr>
                <w:rFonts w:ascii="Calibri" w:hAnsi="Calibri"/>
                <w:color w:val="17221C"/>
                <w:sz w:val="18"/>
              </w:rPr>
              <w:t>Make it easier for your team to keep rates, policies, facility information and caller guidance current.</w:t>
            </w:r>
          </w:p>
        </w:tc>
        <w:tc>
          <w:tcPr>
            <w:tcW w:type="dxa" w:w="4680"/>
            <w:tcMar>
              <w:top w:w="120" w:type="dxa"/>
              <w:bottom w:w="120" w:type="dxa"/>
              <w:start w:w="150" w:type="dxa"/>
              <w:end w:w="150" w:type="dxa"/>
            </w:tcMar>
            <w:vAlign w:val="center"/>
            <w:shd w:fill="F3F5F4"/>
          </w:tcPr>
          <w:p>
            <w:pPr>
              <w:spacing w:after="40"/>
            </w:pPr>
            <w:r>
              <w:rPr>
                <w:rFonts w:ascii="Calibri" w:hAnsi="Calibri"/>
                <w:b/>
                <w:color w:val="00633A"/>
                <w:sz w:val="22"/>
              </w:rPr>
              <w:t>Even better reporting</w:t>
            </w:r>
          </w:p>
          <w:p>
            <w:pPr>
              <w:spacing w:after="0"/>
            </w:pPr>
            <w:r>
              <w:rPr>
                <w:rFonts w:ascii="Calibri" w:hAnsi="Calibri"/>
                <w:color w:val="17221C"/>
                <w:sz w:val="18"/>
              </w:rPr>
              <w:t>Add clearer views of booking demand, eligibility, preferred playing times and caller outcomes.</w:t>
            </w:r>
          </w:p>
        </w:tc>
      </w:tr>
    </w:tbl>
    <w:p>
      <w:pPr>
        <w:spacing w:before="40" w:after="200"/>
        <w:ind w:left="144" w:right="144"/>
        <w:shd w:fill="EAF6EF"/>
        <w:pBdr>
          <w:left w:val="single" w:sz="18" w:space="8" w:color="008A45"/>
        </w:pBdr>
      </w:pPr>
      <w:r>
        <w:rPr>
          <w:rFonts w:ascii="Calibri" w:hAnsi="Calibri"/>
          <w:b/>
          <w:color w:val="00633A"/>
          <w:sz w:val="22"/>
        </w:rPr>
        <w:t xml:space="preserve">Have an idea for us? </w:t>
      </w:r>
      <w:r>
        <w:rPr>
          <w:rFonts w:ascii="Calibri" w:hAnsi="Calibri"/>
          <w:color w:val="17221C"/>
          <w:sz w:val="22"/>
        </w:rPr>
        <w:t>Email BK at bk@speaksport.ai or Mohit at mohit@speaksport.ai.</w:t>
      </w:r>
    </w:p>
    <w:p>
      <w:pPr>
        <w:spacing w:before="240" w:after="0"/>
      </w:pPr>
      <w:r>
        <w:rPr>
          <w:rFonts w:ascii="Calibri" w:hAnsi="Calibri"/>
          <w:b/>
          <w:color w:val="5F6B64"/>
          <w:sz w:val="16"/>
        </w:rPr>
        <w:t>About the figures and excerpts</w:t>
      </w:r>
    </w:p>
    <w:p>
      <w:pPr>
        <w:spacing w:after="0" w:line="240" w:lineRule="auto"/>
      </w:pPr>
      <w:r>
        <w:rPr>
          <w:rFonts w:ascii="Calibri" w:hAnsi="Calibri"/>
          <w:color w:val="5F6B64"/>
          <w:sz w:val="15"/>
        </w:rPr>
        <w:t>Dashboard figures were supplied from the Gypsum Creek SpeakSport dashboard. Direct booking went live on 28 July 2026. Call excerpts were selected from 194 calls reviewed for 28–31 July 2026 and lightly edited only for transcription clarity; personal contact details were omitted.</w:t>
      </w:r>
    </w:p>
    <w:sectPr w:rsidR="00FC693F" w:rsidRPr="0006063C" w:rsidSect="00034616">
      <w:footerReference w:type="default" r:id="rId9"/>
      <w:pgSz w:w="12240" w:h="15840"/>
      <w:pgMar w:top="835" w:right="1440" w:bottom="864" w:left="144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0" w:type="dxa"/>
      <w:tblBorders>
        <w:top w:val="single" w:sz="0" w:color="FFFFFF"/>
        <w:left w:val="single" w:sz="0" w:color="FFFFFF"/>
        <w:bottom w:val="single" w:sz="0" w:color="FFFFFF"/>
        <w:right w:val="single" w:sz="0" w:color="FFFFFF"/>
        <w:insideH w:val="single" w:sz="0" w:color="FFFFFF"/>
        <w:insideV w:val="single" w:sz="0" w:color="FFFFFF"/>
      </w:tblBorders>
    </w:tblPr>
    <w:tblGrid>
      <w:gridCol w:w="6500"/>
      <w:gridCol w:w="2860"/>
    </w:tblGrid>
    <w:tr>
      <w:tc>
        <w:tcPr>
          <w:tcW w:type="dxa" w:w="6500"/>
          <w:tcMar>
            <w:top w:w="120" w:type="dxa"/>
            <w:bottom w:w="120" w:type="dxa"/>
            <w:start w:w="150" w:type="dxa"/>
            <w:end w:w="150" w:type="dxa"/>
          </w:tcMar>
          <w:vAlign w:val="center"/>
        </w:tcPr>
        <w:p>
          <w:r>
            <w:rPr>
              <w:rFonts w:ascii="Calibri" w:hAnsi="Calibri"/>
              <w:color w:val="5F6B64"/>
              <w:sz w:val="16"/>
            </w:rPr>
            <w:t>SpeakSport · Customer performance update</w:t>
          </w:r>
        </w:p>
      </w:tc>
      <w:tc>
        <w:tcPr>
          <w:tcW w:type="dxa" w:w="2860"/>
          <w:tcMar>
            <w:top w:w="120" w:type="dxa"/>
            <w:bottom w:w="120" w:type="dxa"/>
            <w:start w:w="150" w:type="dxa"/>
            <w:end w:w="150" w:type="dxa"/>
          </w:tcMar>
          <w:vAlign w:val="center"/>
        </w:tcPr>
        <w:p>
          <w:pPr>
            <w:jc w:val="right"/>
          </w:pPr>
          <w:r>
            <w:rPr>
              <w:rFonts w:ascii="Calibri" w:hAnsi="Calibri"/>
              <w:color w:val="5F6B64"/>
              <w:sz w:val="16"/>
            </w:rPr>
            <w:t>31 July 2026</w:t>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64" w:lineRule="auto"/>
    </w:pPr>
    <w:rPr>
      <w:rFonts w:ascii="Calibri" w:hAnsi="Calibri"/>
      <w:color w:val="17221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Calibri" w:hAnsi="Calibri"/>
      <w:b/>
      <w:bCs/>
      <w:color w:val="00633A"/>
      <w:sz w:val="3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Calibri" w:hAnsi="Calibri"/>
      <w:b/>
      <w:bCs/>
      <w:color w:val="00633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SpeakSport performance update - Gypsum Creek Golf Course</dc:title>
  <dc:subject>Customer performance update</dc:subject>
  <dc:creator>SpeakSport</dc:creator>
  <cp:keywords>SpeakSport, customer performance, golf operations</cp:keywords>
  <dc:description>generated by python-docx</dc:description>
  <cp:lastModifiedBy/>
  <cp:revision>1</cp:revision>
  <dcterms:created xsi:type="dcterms:W3CDTF">2013-12-23T23:15:00Z</dcterms:created>
  <dcterms:modified xsi:type="dcterms:W3CDTF">2013-12-23T23:15:00Z</dcterms:modified>
  <cp:category/>
</cp:coreProperties>
</file>