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874519" cy="468630"/>
            <wp:docPr id="1" name="Picture 1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468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color w:val="008A45"/>
          <w:sz w:val="17"/>
        </w:rPr>
        <w:t>CUSTOMER PERFORMANCE UPDATE</w:t>
      </w:r>
    </w:p>
    <w:p>
      <w:pPr>
        <w:spacing w:before="0" w:after="40"/>
      </w:pPr>
      <w:r>
        <w:rPr>
          <w:rFonts w:ascii="Calibri" w:hAnsi="Calibri"/>
          <w:b/>
          <w:color w:val="17221C"/>
          <w:sz w:val="50"/>
        </w:rPr>
        <w:t>Osprey Point Golf Course</w:t>
      </w:r>
    </w:p>
    <w:p>
      <w:pPr>
        <w:spacing w:after="140"/>
      </w:pPr>
      <w:r>
        <w:rPr>
          <w:rFonts w:ascii="Calibri" w:hAnsi="Calibri"/>
          <w:color w:val="5F6B64"/>
          <w:sz w:val="19"/>
        </w:rPr>
        <w:t>Since launch · dashboard view: Last 1 Year · Direct booking integration · Prepared 25 July 2026</w:t>
      </w:r>
    </w:p>
    <w:p>
      <w:pPr>
        <w:pStyle w:val="Heading1"/>
      </w:pPr>
      <w:r>
        <w:t>Performance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3,299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Calls handled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183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Bookings completed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$6,265.57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Booking revenue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5h 36m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Time saved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29.4%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First-call resolution</w:t>
            </w:r>
          </w:p>
        </w:tc>
        <w:tc>
          <w:tcPr>
            <w:tcW w:type="dxa" w:w="312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color w:val="00633A"/>
                <w:sz w:val="36"/>
              </w:rPr>
              <w:t>$1,125.79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color w:val="5F6B64"/>
                <w:sz w:val="17"/>
              </w:rPr>
              <w:t>Estimated cost saved</w:t>
            </w:r>
          </w:p>
        </w:tc>
      </w:tr>
    </w:tbl>
    <w:p>
      <w:pPr>
        <w:spacing w:after="0"/>
      </w:pPr>
    </w:p>
    <w:p>
      <w:pPr>
        <w:spacing w:before="0" w:after="60"/>
      </w:pPr>
      <w:r>
        <w:rPr>
          <w:rFonts w:ascii="Calibri" w:hAnsi="Calibri"/>
          <w:b/>
          <w:color w:val="008A45"/>
          <w:sz w:val="16"/>
        </w:rPr>
        <w:t>AFTER-HOURS IMPACT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008A45"/>
          <w:left w:val="single" w:sz="4" w:color="008A45"/>
          <w:bottom w:val="single" w:sz="4" w:color="008A45"/>
          <w:right w:val="single" w:sz="4" w:color="008A45"/>
          <w:insideH w:val="single" w:sz="4" w:color="008A45"/>
          <w:insideV w:val="single" w:sz="4" w:color="008A45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1,524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calls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bookings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$2,473.19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booking revenue</w:t>
            </w:r>
          </w:p>
        </w:tc>
        <w:tc>
          <w:tcPr>
            <w:tcW w:type="dxa" w:w="234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008A4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7"/>
              </w:rPr>
              <w:t>28.5%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After-hours FCR</w:t>
            </w:r>
          </w:p>
        </w:tc>
      </w:tr>
    </w:tbl>
    <w:p>
      <w:pPr>
        <w:pStyle w:val="Heading1"/>
      </w:pPr>
      <w:r>
        <w:t>What has worked brilliantly</w:t>
      </w:r>
    </w:p>
    <w:p>
      <w:pPr>
        <w:spacing w:after="40"/>
      </w:pPr>
      <w:r>
        <w:rPr>
          <w:rFonts w:ascii="Calibri" w:hAnsi="Calibri"/>
          <w:color w:val="5F6B64"/>
          <w:sz w:val="19"/>
        </w:rPr>
        <w:t>A review of 942 calls from 16–23 July 2026 showed three especially strong patterns: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Eligibility and booking-window rules were applied correctly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SpeakSport checked the caller’s frequent-player-card status, confirmed that the requested date was inside the permitted booking window and found an available alternative for a single player.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“You can book tee times up to seven days in advance. July 24 is within your booking window.” When 11:00 AM was unavailable, SpeakSport offered nearby options and confirmed the caller at 10:21 AM on the Raven course.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23 July at 9:00 PM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Rate guidance flowed directly into a completed booking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The caller received clear public and twilight pricing, then moved straight into availability and completed the reservation without needing the golf shop.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“Our standard public green fee from noon to 5:00 PM is $43.19. After 5:00 PM, our twilight rate is $33.80.” SpeakSport then confirmed two players at 3:00 PM on the Raven course.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23 July at 2:47 PM</w:t>
      </w:r>
    </w:p>
    <w:p>
      <w:pPr>
        <w:spacing w:before="100" w:after="40"/>
      </w:pPr>
      <w:r>
        <w:rPr>
          <w:rFonts w:ascii="Calibri" w:hAnsi="Calibri"/>
          <w:b/>
          <w:color w:val="00633A"/>
          <w:sz w:val="23"/>
        </w:rPr>
        <w:t>Booking and email confirmation were handled together</w:t>
      </w:r>
    </w:p>
    <w:p>
      <w:pPr>
        <w:spacing w:after="60"/>
      </w:pPr>
      <w:r>
        <w:rPr>
          <w:rFonts w:ascii="Calibri" w:hAnsi="Calibri"/>
          <w:color w:val="17221C"/>
          <w:sz w:val="19"/>
        </w:rPr>
        <w:t>After securing the requested alternative time, SpeakSport confirmed the full reservation and answered the caller’s follow-up question about receiving the details by email.</w:t>
      </w:r>
    </w:p>
    <w:p>
      <w:pPr>
        <w:spacing w:before="0" w:after="40" w:line="252" w:lineRule="auto"/>
        <w:ind w:left="158" w:right="72"/>
        <w:shd w:fill="EAF6EF"/>
        <w:pBdr>
          <w:left w:val="single" w:sz="18" w:space="8" w:color="008A45"/>
        </w:pBdr>
      </w:pPr>
      <w:r>
        <w:rPr>
          <w:rFonts w:ascii="Calibri" w:hAnsi="Calibri"/>
          <w:i/>
          <w:color w:val="17221C"/>
          <w:sz w:val="18"/>
        </w:rPr>
        <w:t>“Your tee time for three players is confirmed at 11:24 AM on the Falcon course with golf carts included.” When asked about email: “Yes, you can look forward to receiving an email confirmation.”</w:t>
      </w:r>
    </w:p>
    <w:p>
      <w:pPr>
        <w:spacing w:after="20"/>
      </w:pPr>
      <w:r>
        <w:rPr>
          <w:rFonts w:ascii="Calibri" w:hAnsi="Calibri"/>
          <w:b/>
          <w:color w:val="5F6B64"/>
          <w:sz w:val="16"/>
        </w:rPr>
        <w:t>Call on 20 July at 5:13 PM</w:t>
      </w:r>
    </w:p>
    <w:p>
      <w:r>
        <w:br w:type="page"/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1508760" cy="377190"/>
            <wp:docPr id="2" name="Picture 2" descr="SpeakSport logo" title="SpeakS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aksport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77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What we have rolled out</w:t>
      </w:r>
    </w:p>
    <w:p>
      <w:r>
        <w:rPr>
          <w:rFonts w:ascii="Calibri" w:hAnsi="Calibri"/>
          <w:color w:val="17221C"/>
          <w:sz w:val="21"/>
        </w:rPr>
        <w:t>We have continued strengthening the integrated experience around booking accuracy, reservation servicing and clearer operational insight.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Cancellations on the call. </w:t>
      </w:r>
      <w:r>
        <w:rPr>
          <w:rFonts w:ascii="Calibri" w:hAnsi="Calibri"/>
          <w:color w:val="17221C"/>
          <w:sz w:val="21"/>
        </w:rPr>
        <w:t>Golfers can now cancel eligible bookings directly with SpeakSport, reducing avoidable transfers and making it easier to release tee times promptly.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Stronger booking-eligibility verification. </w:t>
      </w:r>
      <w:r>
        <w:rPr>
          <w:rFonts w:ascii="Calibri" w:hAnsi="Calibri"/>
          <w:color w:val="17221C"/>
          <w:sz w:val="21"/>
        </w:rPr>
        <w:t>Frequent-player-card context, advance-booking windows and other booking rules are checked before a reservation is created.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Upcoming-booking confirmations. </w:t>
      </w:r>
      <w:r>
        <w:rPr>
          <w:rFonts w:ascii="Calibri" w:hAnsi="Calibri"/>
          <w:color w:val="17221C"/>
          <w:sz w:val="21"/>
        </w:rPr>
        <w:t>When golfers ask about an upcoming reservation, SpeakSport can retrieve and confirm the booking details during the call.</w:t>
      </w:r>
    </w:p>
    <w:p>
      <w:pPr>
        <w:keepLines/>
        <w:spacing w:before="80" w:after="40"/>
      </w:pPr>
      <w:r>
        <w:rPr>
          <w:rFonts w:ascii="Calibri" w:hAnsi="Calibri"/>
          <w:b/>
          <w:color w:val="00633A"/>
          <w:sz w:val="21"/>
        </w:rPr>
        <w:t xml:space="preserve">Richer back-office reporting. </w:t>
      </w:r>
      <w:r>
        <w:rPr>
          <w:rFonts w:ascii="Calibri" w:hAnsi="Calibri"/>
          <w:color w:val="17221C"/>
          <w:sz w:val="21"/>
        </w:rPr>
        <w:t>The dashboard now supports filtering calls by intent, category and outcome, making performance patterns and operational opportunities easier to find.</w:t>
      </w:r>
    </w:p>
    <w:p>
      <w:pPr>
        <w:pStyle w:val="Heading1"/>
      </w:pPr>
      <w:r>
        <w:t>Building the next chapter together</w:t>
      </w:r>
    </w:p>
    <w:p>
      <w:pPr>
        <w:spacing w:after="140"/>
      </w:pPr>
      <w:r>
        <w:rPr>
          <w:rFonts w:ascii="Calibri" w:hAnsi="Calibri"/>
          <w:color w:val="17221C"/>
          <w:sz w:val="21"/>
        </w:rPr>
        <w:t>We will continue enriching SpeakSport with capabilities such as self-serve knowledge-base updates and even better reporting. We would love Osprey Point to remain part of that journey—please keep sharing feedback, ideas and initiatives you would like us to explore.</w:t>
      </w:r>
    </w:p>
    <w:p>
      <w:pPr>
        <w:spacing w:before="60" w:after="60"/>
      </w:pPr>
      <w:r>
        <w:rPr>
          <w:rFonts w:ascii="Calibri" w:hAnsi="Calibri"/>
          <w:b/>
          <w:color w:val="008A45"/>
          <w:sz w:val="16"/>
        </w:rPr>
        <w:t>NEAR-TERM DIRECTION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E4DC"/>
          <w:left w:val="single" w:sz="5" w:color="D7E4DC"/>
          <w:bottom w:val="single" w:sz="5" w:color="D7E4DC"/>
          <w:right w:val="single" w:sz="5" w:color="D7E4DC"/>
          <w:insideH w:val="single" w:sz="5" w:color="D7E4DC"/>
          <w:insideV w:val="single" w:sz="5" w:color="D7E4DC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EAF6E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Self-serve knowledge base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Make it easier for your team to keep rates, policies, facility information and caller guidance current.</w:t>
            </w:r>
          </w:p>
        </w:tc>
        <w:tc>
          <w:tcPr>
            <w:tcW w:type="dxa" w:w="4680"/>
            <w:tcMar>
              <w:top w:w="120" w:type="dxa"/>
              <w:bottom w:w="120" w:type="dxa"/>
              <w:start w:w="150" w:type="dxa"/>
              <w:end w:w="150" w:type="dxa"/>
            </w:tcMar>
            <w:vAlign w:val="center"/>
            <w:shd w:fill="F3F5F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33A"/>
                <w:sz w:val="22"/>
              </w:rPr>
              <w:t>Even better reporting</w:t>
            </w:r>
          </w:p>
          <w:p>
            <w:pPr>
              <w:spacing w:after="0"/>
            </w:pPr>
            <w:r>
              <w:rPr>
                <w:rFonts w:ascii="Calibri" w:hAnsi="Calibri"/>
                <w:color w:val="17221C"/>
                <w:sz w:val="18"/>
              </w:rPr>
              <w:t>Add clearer views of booking demand, eligibility, course preferences and caller outcomes.</w:t>
            </w:r>
          </w:p>
        </w:tc>
      </w:tr>
    </w:tbl>
    <w:p>
      <w:pPr>
        <w:spacing w:before="40" w:after="200"/>
        <w:ind w:left="144" w:right="144"/>
        <w:shd w:fill="EAF6EF"/>
        <w:pBdr>
          <w:left w:val="single" w:sz="18" w:space="8" w:color="008A45"/>
        </w:pBdr>
      </w:pPr>
      <w:r>
        <w:rPr>
          <w:rFonts w:ascii="Calibri" w:hAnsi="Calibri"/>
          <w:b/>
          <w:color w:val="00633A"/>
          <w:sz w:val="22"/>
        </w:rPr>
        <w:t xml:space="preserve">Have an idea for us? </w:t>
      </w:r>
      <w:r>
        <w:rPr>
          <w:rFonts w:ascii="Calibri" w:hAnsi="Calibri"/>
          <w:color w:val="17221C"/>
          <w:sz w:val="22"/>
        </w:rPr>
        <w:t>Email BK at bk@speaksport.ai or Mohit at mohit@speaksport.ai.</w:t>
      </w:r>
    </w:p>
    <w:p>
      <w:pPr>
        <w:spacing w:before="240" w:after="0"/>
      </w:pPr>
      <w:r>
        <w:rPr>
          <w:rFonts w:ascii="Calibri" w:hAnsi="Calibri"/>
          <w:b/>
          <w:color w:val="5F6B64"/>
          <w:sz w:val="16"/>
        </w:rPr>
        <w:t>About the figures and excerpts</w:t>
      </w:r>
    </w:p>
    <w:p>
      <w:pPr>
        <w:spacing w:after="0" w:line="240" w:lineRule="auto"/>
      </w:pPr>
      <w:r>
        <w:rPr>
          <w:rFonts w:ascii="Calibri" w:hAnsi="Calibri"/>
          <w:color w:val="5F6B64"/>
          <w:sz w:val="15"/>
        </w:rPr>
        <w:t>Dashboard figures were supplied from the Osprey Point SpeakSport dashboard. Call excerpts were selected from 942 calls reviewed for 16–23 July 2026 and lightly edited only for transcription clarity; personal contact details were omitted.</w:t>
      </w:r>
    </w:p>
    <w:sectPr w:rsidR="00FC693F" w:rsidRPr="0006063C" w:rsidSect="00034616">
      <w:footerReference w:type="default" r:id="rId9"/>
      <w:pgSz w:w="12240" w:h="15840"/>
      <w:pgMar w:top="835" w:right="1440" w:bottom="864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6500"/>
      <w:gridCol w:w="2860"/>
    </w:tblGrid>
    <w:tr>
      <w:tc>
        <w:tcPr>
          <w:tcW w:type="dxa" w:w="650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r>
            <w:rPr>
              <w:rFonts w:ascii="Calibri" w:hAnsi="Calibri"/>
              <w:color w:val="5F6B64"/>
              <w:sz w:val="16"/>
            </w:rPr>
            <w:t>SpeakSport · Customer performance update</w:t>
          </w:r>
        </w:p>
      </w:tc>
      <w:tc>
        <w:tcPr>
          <w:tcW w:type="dxa" w:w="2860"/>
          <w:tcMar>
            <w:top w:w="120" w:type="dxa"/>
            <w:bottom w:w="120" w:type="dxa"/>
            <w:start w:w="150" w:type="dxa"/>
            <w:end w:w="15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F6B64"/>
              <w:sz w:val="16"/>
            </w:rPr>
            <w:t>25 July 2026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Calibri" w:hAnsi="Calibri"/>
      <w:color w:val="1722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63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63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SpeakSport performance update - Osprey Point Golf Course</dc:title>
  <dc:subject>Customer performance update</dc:subject>
  <dc:creator>SpeakSport</dc:creator>
  <cp:keywords>SpeakSport, customer performance, golf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