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drawing>
          <wp:inline xmlns:a="http://schemas.openxmlformats.org/drawingml/2006/main" xmlns:pic="http://schemas.openxmlformats.org/drawingml/2006/picture">
            <wp:extent cx="1874519" cy="468630"/>
            <wp:docPr id="1" name="Picture 1" descr="SpeakSport logo" title="SpeakSport"/>
            <wp:cNvGraphicFramePr>
              <a:graphicFrameLocks noChangeAspect="1"/>
            </wp:cNvGraphicFramePr>
            <a:graphic>
              <a:graphicData uri="http://schemas.openxmlformats.org/drawingml/2006/picture">
                <pic:pic>
                  <pic:nvPicPr>
                    <pic:cNvPr id="0" name="speaksport-logo.png"/>
                    <pic:cNvPicPr/>
                  </pic:nvPicPr>
                  <pic:blipFill>
                    <a:blip r:embed="rId10"/>
                    <a:stretch>
                      <a:fillRect/>
                    </a:stretch>
                  </pic:blipFill>
                  <pic:spPr>
                    <a:xfrm>
                      <a:off x="0" y="0"/>
                      <a:ext cx="1874519" cy="468630"/>
                    </a:xfrm>
                    <a:prstGeom prst="rect"/>
                  </pic:spPr>
                </pic:pic>
              </a:graphicData>
            </a:graphic>
          </wp:inline>
        </w:drawing>
      </w:r>
    </w:p>
    <w:p>
      <w:pPr>
        <w:spacing w:after="0"/>
      </w:pPr>
      <w:r>
        <w:rPr>
          <w:rFonts w:ascii="Calibri" w:hAnsi="Calibri"/>
          <w:b/>
          <w:color w:val="008A45"/>
          <w:sz w:val="17"/>
        </w:rPr>
        <w:t>CUSTOMER PERFORMANCE UPDATE</w:t>
      </w:r>
    </w:p>
    <w:p>
      <w:pPr>
        <w:spacing w:before="0" w:after="40"/>
      </w:pPr>
      <w:r>
        <w:rPr>
          <w:rFonts w:ascii="Calibri" w:hAnsi="Calibri"/>
          <w:b/>
          <w:color w:val="17221C"/>
          <w:sz w:val="50"/>
        </w:rPr>
        <w:t>The Resort Golf Club</w:t>
      </w:r>
    </w:p>
    <w:p>
      <w:pPr>
        <w:spacing w:after="140"/>
      </w:pPr>
      <w:r>
        <w:rPr>
          <w:rFonts w:ascii="Calibri" w:hAnsi="Calibri"/>
          <w:color w:val="5F6B64"/>
          <w:sz w:val="19"/>
        </w:rPr>
        <w:t>Since launch · dashboard view: Last 1 Year · Direct booking integration · Prepared 31 July 2026</w:t>
      </w:r>
    </w:p>
    <w:p>
      <w:pPr>
        <w:pStyle w:val="Heading1"/>
      </w:pPr>
      <w:r>
        <w:t>Performance at a glance</w:t>
      </w:r>
    </w:p>
    <w:tbl>
      <w:tblPr>
        <w:tblW w:type="dxa" w:w="9360"/>
        <w:jc w:val="left"/>
        <w:tblLayout w:type="fixed"/>
        <w:tblLook w:firstColumn="1" w:firstRow="1" w:lastColumn="0" w:lastRow="0" w:noHBand="0" w:noVBand="1" w:val="04A0"/>
        <w:tblInd w:w="120" w:type="dxa"/>
        <w:tblBorders>
          <w:top w:val="single" w:sz="5" w:color="D7E4DC"/>
          <w:left w:val="single" w:sz="5" w:color="D7E4DC"/>
          <w:bottom w:val="single" w:sz="5" w:color="D7E4DC"/>
          <w:right w:val="single" w:sz="5" w:color="D7E4DC"/>
          <w:insideH w:val="single" w:sz="5" w:color="D7E4DC"/>
          <w:insideV w:val="single" w:sz="5" w:color="D7E4DC"/>
        </w:tblBorders>
      </w:tblPr>
      <w:tblGrid>
        <w:gridCol w:w="4680"/>
        <w:gridCol w:w="4680"/>
      </w:tblGrid>
      <w:tr>
        <w:tc>
          <w:tcPr>
            <w:tcW w:type="dxa" w:w="4680"/>
            <w:tcMar>
              <w:top w:w="120" w:type="dxa"/>
              <w:bottom w:w="120" w:type="dxa"/>
              <w:start w:w="150" w:type="dxa"/>
              <w:end w:w="150" w:type="dxa"/>
            </w:tcMar>
            <w:vAlign w:val="center"/>
            <w:shd w:fill="EAF6EF"/>
          </w:tcPr>
          <w:p>
            <w:pPr>
              <w:spacing w:after="0" w:before="0" w:line="240" w:lineRule="auto"/>
              <w:jc w:val="left"/>
            </w:pPr>
            <w:r>
              <w:rPr>
                <w:rFonts w:ascii="Calibri" w:hAnsi="Calibri"/>
                <w:b/>
                <w:color w:val="00633A"/>
                <w:sz w:val="42"/>
              </w:rPr>
              <w:t>1,970</w:t>
            </w:r>
          </w:p>
          <w:p>
            <w:pPr>
              <w:spacing w:after="0" w:before="0" w:line="240" w:lineRule="auto"/>
            </w:pPr>
            <w:r>
              <w:rPr>
                <w:rFonts w:ascii="Calibri" w:hAnsi="Calibri"/>
                <w:b/>
                <w:color w:val="5F6B64"/>
                <w:sz w:val="19"/>
              </w:rPr>
              <w:t>Calls handled</w:t>
            </w:r>
          </w:p>
        </w:tc>
        <w:tc>
          <w:tcPr>
            <w:tcW w:type="dxa" w:w="4680"/>
            <w:tcMar>
              <w:top w:w="120" w:type="dxa"/>
              <w:bottom w:w="120" w:type="dxa"/>
              <w:start w:w="150" w:type="dxa"/>
              <w:end w:w="150" w:type="dxa"/>
            </w:tcMar>
            <w:vAlign w:val="center"/>
            <w:shd w:fill="F3F5F4"/>
          </w:tcPr>
          <w:p>
            <w:pPr>
              <w:spacing w:after="0" w:before="0" w:line="240" w:lineRule="auto"/>
              <w:jc w:val="left"/>
            </w:pPr>
            <w:r>
              <w:rPr>
                <w:rFonts w:ascii="Calibri" w:hAnsi="Calibri"/>
                <w:b/>
                <w:color w:val="00633A"/>
                <w:sz w:val="42"/>
              </w:rPr>
              <w:t>197</w:t>
            </w:r>
          </w:p>
          <w:p>
            <w:pPr>
              <w:spacing w:after="0" w:before="0" w:line="240" w:lineRule="auto"/>
            </w:pPr>
            <w:r>
              <w:rPr>
                <w:rFonts w:ascii="Calibri" w:hAnsi="Calibri"/>
                <w:b/>
                <w:color w:val="5F6B64"/>
                <w:sz w:val="19"/>
              </w:rPr>
              <w:t>Bookings completed</w:t>
            </w:r>
          </w:p>
        </w:tc>
      </w:tr>
      <w:tr>
        <w:tc>
          <w:tcPr>
            <w:tcW w:type="dxa" w:w="4680"/>
            <w:tcMar>
              <w:top w:w="120" w:type="dxa"/>
              <w:bottom w:w="120" w:type="dxa"/>
              <w:start w:w="150" w:type="dxa"/>
              <w:end w:w="150" w:type="dxa"/>
            </w:tcMar>
            <w:vAlign w:val="center"/>
            <w:shd w:fill="EAF6EF"/>
          </w:tcPr>
          <w:p>
            <w:pPr>
              <w:spacing w:after="0" w:before="0" w:line="240" w:lineRule="auto"/>
              <w:jc w:val="left"/>
            </w:pPr>
            <w:r>
              <w:rPr>
                <w:rFonts w:ascii="Calibri" w:hAnsi="Calibri"/>
                <w:b/>
                <w:color w:val="00633A"/>
                <w:sz w:val="42"/>
              </w:rPr>
              <w:t>$28,042.42</w:t>
            </w:r>
          </w:p>
          <w:p>
            <w:pPr>
              <w:spacing w:after="0" w:before="0" w:line="240" w:lineRule="auto"/>
            </w:pPr>
            <w:r>
              <w:rPr>
                <w:rFonts w:ascii="Calibri" w:hAnsi="Calibri"/>
                <w:b/>
                <w:color w:val="5F6B64"/>
                <w:sz w:val="19"/>
              </w:rPr>
              <w:t>Booking revenue</w:t>
            </w:r>
          </w:p>
        </w:tc>
        <w:tc>
          <w:tcPr>
            <w:tcW w:type="dxa" w:w="4680"/>
            <w:tcMar>
              <w:top w:w="120" w:type="dxa"/>
              <w:bottom w:w="120" w:type="dxa"/>
              <w:start w:w="150" w:type="dxa"/>
              <w:end w:w="150" w:type="dxa"/>
            </w:tcMar>
            <w:vAlign w:val="center"/>
            <w:shd w:fill="F3F5F4"/>
          </w:tcPr>
          <w:p>
            <w:pPr>
              <w:spacing w:after="0" w:before="0" w:line="240" w:lineRule="auto"/>
              <w:jc w:val="left"/>
            </w:pPr>
            <w:r>
              <w:rPr>
                <w:rFonts w:ascii="Calibri" w:hAnsi="Calibri"/>
                <w:b/>
                <w:color w:val="00633A"/>
                <w:sz w:val="42"/>
              </w:rPr>
              <w:t>34h 54m</w:t>
            </w:r>
          </w:p>
          <w:p>
            <w:pPr>
              <w:spacing w:after="0" w:before="0" w:line="240" w:lineRule="auto"/>
            </w:pPr>
            <w:r>
              <w:rPr>
                <w:rFonts w:ascii="Calibri" w:hAnsi="Calibri"/>
                <w:b/>
                <w:color w:val="5F6B64"/>
                <w:sz w:val="19"/>
              </w:rPr>
              <w:t>Time saved</w:t>
            </w:r>
          </w:p>
        </w:tc>
      </w:tr>
    </w:tbl>
    <w:p>
      <w:pPr>
        <w:spacing w:after="0"/>
      </w:pPr>
    </w:p>
    <w:p>
      <w:pPr>
        <w:spacing w:before="0" w:after="60"/>
      </w:pPr>
      <w:r>
        <w:rPr>
          <w:rFonts w:ascii="Calibri" w:hAnsi="Calibri"/>
          <w:b/>
          <w:color w:val="008A45"/>
          <w:sz w:val="16"/>
        </w:rPr>
        <w:t>AFTER-HOURS IMPACT</w:t>
      </w:r>
    </w:p>
    <w:tbl>
      <w:tblPr>
        <w:tblW w:type="dxa" w:w="9360"/>
        <w:jc w:val="left"/>
        <w:tblLayout w:type="fixed"/>
        <w:tblLook w:firstColumn="1" w:firstRow="1" w:lastColumn="0" w:lastRow="0" w:noHBand="0" w:noVBand="1" w:val="04A0"/>
        <w:tblInd w:w="120" w:type="dxa"/>
        <w:tblBorders>
          <w:top w:val="single" w:sz="4" w:color="008A45"/>
          <w:left w:val="single" w:sz="4" w:color="008A45"/>
          <w:bottom w:val="single" w:sz="4" w:color="008A45"/>
          <w:right w:val="single" w:sz="4" w:color="008A45"/>
          <w:insideH w:val="single" w:sz="4" w:color="008A45"/>
          <w:insideV w:val="single" w:sz="4" w:color="008A45"/>
        </w:tblBorders>
      </w:tblPr>
      <w:tblGrid>
        <w:gridCol w:w="3120"/>
        <w:gridCol w:w="3120"/>
        <w:gridCol w:w="3120"/>
      </w:tblGrid>
      <w:tr>
        <w:tc>
          <w:tcPr>
            <w:tcW w:type="dxa" w:w="3120"/>
            <w:tcMar>
              <w:top w:w="120" w:type="dxa"/>
              <w:bottom w:w="120" w:type="dxa"/>
              <w:start w:w="150" w:type="dxa"/>
              <w:end w:w="150" w:type="dxa"/>
            </w:tcMar>
            <w:vAlign w:val="center"/>
            <w:shd w:fill="008A45"/>
          </w:tcPr>
          <w:p>
            <w:pPr>
              <w:spacing w:before="0" w:after="0" w:line="240" w:lineRule="auto"/>
              <w:jc w:val="center"/>
            </w:pPr>
            <w:r>
              <w:rPr>
                <w:rFonts w:ascii="Calibri" w:hAnsi="Calibri"/>
                <w:b/>
                <w:color w:val="FFFFFF"/>
                <w:sz w:val="27"/>
              </w:rPr>
              <w:t>368</w:t>
            </w:r>
          </w:p>
          <w:p>
            <w:pPr>
              <w:spacing w:before="0" w:after="0" w:line="240" w:lineRule="auto"/>
              <w:jc w:val="center"/>
            </w:pPr>
            <w:r>
              <w:rPr>
                <w:rFonts w:ascii="Calibri" w:hAnsi="Calibri"/>
                <w:b/>
                <w:color w:val="FFFFFF"/>
                <w:sz w:val="15"/>
              </w:rPr>
              <w:t>Calls</w:t>
            </w:r>
          </w:p>
        </w:tc>
        <w:tc>
          <w:tcPr>
            <w:tcW w:type="dxa" w:w="3120"/>
            <w:tcMar>
              <w:top w:w="120" w:type="dxa"/>
              <w:bottom w:w="120" w:type="dxa"/>
              <w:start w:w="150" w:type="dxa"/>
              <w:end w:w="150" w:type="dxa"/>
            </w:tcMar>
            <w:vAlign w:val="center"/>
            <w:shd w:fill="008A45"/>
          </w:tcPr>
          <w:p>
            <w:pPr>
              <w:spacing w:before="0" w:after="0" w:line="240" w:lineRule="auto"/>
              <w:jc w:val="center"/>
            </w:pPr>
            <w:r>
              <w:rPr>
                <w:rFonts w:ascii="Calibri" w:hAnsi="Calibri"/>
                <w:b/>
                <w:color w:val="FFFFFF"/>
                <w:sz w:val="27"/>
              </w:rPr>
              <w:t>106</w:t>
            </w:r>
          </w:p>
          <w:p>
            <w:pPr>
              <w:spacing w:before="0" w:after="0" w:line="240" w:lineRule="auto"/>
              <w:jc w:val="center"/>
            </w:pPr>
            <w:r>
              <w:rPr>
                <w:rFonts w:ascii="Calibri" w:hAnsi="Calibri"/>
                <w:b/>
                <w:color w:val="FFFFFF"/>
                <w:sz w:val="15"/>
              </w:rPr>
              <w:t>Bookings</w:t>
            </w:r>
          </w:p>
        </w:tc>
        <w:tc>
          <w:tcPr>
            <w:tcW w:type="dxa" w:w="3120"/>
            <w:tcMar>
              <w:top w:w="120" w:type="dxa"/>
              <w:bottom w:w="120" w:type="dxa"/>
              <w:start w:w="150" w:type="dxa"/>
              <w:end w:w="150" w:type="dxa"/>
            </w:tcMar>
            <w:vAlign w:val="center"/>
            <w:shd w:fill="008A45"/>
          </w:tcPr>
          <w:p>
            <w:pPr>
              <w:spacing w:before="0" w:after="0" w:line="240" w:lineRule="auto"/>
              <w:jc w:val="center"/>
            </w:pPr>
            <w:r>
              <w:rPr>
                <w:rFonts w:ascii="Calibri" w:hAnsi="Calibri"/>
                <w:b/>
                <w:color w:val="FFFFFF"/>
                <w:sz w:val="27"/>
              </w:rPr>
              <w:t>$14,968.58</w:t>
            </w:r>
          </w:p>
          <w:p>
            <w:pPr>
              <w:spacing w:before="0" w:after="0" w:line="240" w:lineRule="auto"/>
              <w:jc w:val="center"/>
            </w:pPr>
            <w:r>
              <w:rPr>
                <w:rFonts w:ascii="Calibri" w:hAnsi="Calibri"/>
                <w:b/>
                <w:color w:val="FFFFFF"/>
                <w:sz w:val="15"/>
              </w:rPr>
              <w:t>Booking revenue</w:t>
            </w:r>
          </w:p>
        </w:tc>
      </w:tr>
    </w:tbl>
    <w:p>
      <w:pPr>
        <w:pStyle w:val="Heading1"/>
      </w:pPr>
      <w:r>
        <w:t>What has worked brilliantly</w:t>
      </w:r>
    </w:p>
    <w:p>
      <w:pPr>
        <w:spacing w:after="40"/>
      </w:pPr>
      <w:r>
        <w:rPr>
          <w:rFonts w:ascii="Calibri" w:hAnsi="Calibri"/>
          <w:color w:val="5F6B64"/>
          <w:sz w:val="19"/>
        </w:rPr>
        <w:t>A review of 404 calls from 24–31 July 2026 showed three especially strong patterns:</w:t>
      </w:r>
    </w:p>
    <w:p>
      <w:pPr>
        <w:spacing w:before="100" w:after="40"/>
      </w:pPr>
      <w:r>
        <w:rPr>
          <w:rFonts w:ascii="Calibri" w:hAnsi="Calibri"/>
          <w:b/>
          <w:color w:val="00633A"/>
          <w:sz w:val="23"/>
        </w:rPr>
        <w:t>Booking eligibility was checked before a reservation was made</w:t>
      </w:r>
    </w:p>
    <w:p>
      <w:pPr>
        <w:spacing w:after="60"/>
      </w:pPr>
      <w:r>
        <w:rPr>
          <w:rFonts w:ascii="Calibri" w:hAnsi="Calibri"/>
          <w:color w:val="17221C"/>
          <w:sz w:val="19"/>
        </w:rPr>
        <w:t>A public guest requested a Sunday morning tee time. SpeakSport confirmed that the date was within the seven-day booking window, presented available times and completed the 6:45 AM 18-hole reservation.</w:t>
      </w:r>
    </w:p>
    <w:p>
      <w:pPr>
        <w:spacing w:before="0" w:after="40" w:line="252" w:lineRule="auto"/>
        <w:ind w:left="158" w:right="72"/>
        <w:shd w:fill="EAF6EF"/>
        <w:pBdr>
          <w:left w:val="single" w:sz="18" w:space="8" w:color="008A45"/>
        </w:pBdr>
      </w:pPr>
      <w:r>
        <w:rPr>
          <w:rFonts w:ascii="Calibri" w:hAnsi="Calibri"/>
          <w:i/>
          <w:color w:val="17221C"/>
          <w:sz w:val="18"/>
        </w:rPr>
        <w:t>“As a public guest, our tee times can be booked up to 7 days in advance … August 2 falls within your booking window, so we’re all set.”</w:t>
      </w:r>
    </w:p>
    <w:p>
      <w:pPr>
        <w:spacing w:after="20"/>
      </w:pPr>
      <w:r>
        <w:rPr>
          <w:rFonts w:ascii="Calibri" w:hAnsi="Calibri"/>
          <w:b/>
          <w:color w:val="5F6B64"/>
          <w:sz w:val="16"/>
        </w:rPr>
        <w:t>Call on 31 July at 9:38 PM</w:t>
      </w:r>
    </w:p>
    <w:p>
      <w:pPr>
        <w:spacing w:before="100" w:after="40"/>
      </w:pPr>
      <w:r>
        <w:rPr>
          <w:rFonts w:ascii="Calibri" w:hAnsi="Calibri"/>
          <w:b/>
          <w:color w:val="00633A"/>
          <w:sz w:val="23"/>
        </w:rPr>
        <w:t>A foursome was converted to the latest available nearby option</w:t>
      </w:r>
    </w:p>
    <w:p>
      <w:pPr>
        <w:spacing w:after="60"/>
      </w:pPr>
      <w:r>
        <w:rPr>
          <w:rFonts w:ascii="Calibri" w:hAnsi="Calibri"/>
          <w:color w:val="17221C"/>
          <w:sz w:val="19"/>
        </w:rPr>
        <w:t>When a four-player group requested 4:45 PM and that exact time was unavailable, SpeakSport presented the closest choices, explained that 4:30 PM was the latest option and confirmed the 18-hole booking.</w:t>
      </w:r>
    </w:p>
    <w:p>
      <w:pPr>
        <w:spacing w:before="0" w:after="40" w:line="252" w:lineRule="auto"/>
        <w:ind w:left="158" w:right="72"/>
        <w:shd w:fill="EAF6EF"/>
        <w:pBdr>
          <w:left w:val="single" w:sz="18" w:space="8" w:color="008A45"/>
        </w:pBdr>
      </w:pPr>
      <w:r>
        <w:rPr>
          <w:rFonts w:ascii="Calibri" w:hAnsi="Calibri"/>
          <w:i/>
          <w:color w:val="17221C"/>
          <w:sz w:val="18"/>
        </w:rPr>
        <w:t>“It looks like the latest available tee time for your group … is 4:30 PM.” The caller chose it, and SpeakSport confirmed the foursome.</w:t>
      </w:r>
    </w:p>
    <w:p>
      <w:pPr>
        <w:spacing w:after="20"/>
      </w:pPr>
      <w:r>
        <w:rPr>
          <w:rFonts w:ascii="Calibri" w:hAnsi="Calibri"/>
          <w:b/>
          <w:color w:val="5F6B64"/>
          <w:sz w:val="16"/>
        </w:rPr>
        <w:t>Call on 30 July at 8:34 PM</w:t>
      </w:r>
    </w:p>
    <w:p>
      <w:pPr>
        <w:spacing w:before="100" w:after="40"/>
      </w:pPr>
      <w:r>
        <w:rPr>
          <w:rFonts w:ascii="Calibri" w:hAnsi="Calibri"/>
          <w:b/>
          <w:color w:val="00633A"/>
          <w:sz w:val="23"/>
        </w:rPr>
        <w:t>A same-day request was completed with a close alternative</w:t>
      </w:r>
    </w:p>
    <w:p>
      <w:pPr>
        <w:spacing w:after="60"/>
      </w:pPr>
      <w:r>
        <w:rPr>
          <w:rFonts w:ascii="Calibri" w:hAnsi="Calibri"/>
          <w:color w:val="17221C"/>
          <w:sz w:val="19"/>
        </w:rPr>
        <w:t>A two-player caller seeking approximately 3:30 PM that afternoon received a set of nearby tee times, selected 3:36 PM and received a confirmed 18-hole reservation during the call.</w:t>
      </w:r>
    </w:p>
    <w:p>
      <w:pPr>
        <w:spacing w:before="0" w:after="40" w:line="252" w:lineRule="auto"/>
        <w:ind w:left="158" w:right="72"/>
        <w:shd w:fill="EAF6EF"/>
        <w:pBdr>
          <w:left w:val="single" w:sz="18" w:space="8" w:color="008A45"/>
        </w:pBdr>
      </w:pPr>
      <w:r>
        <w:rPr>
          <w:rFonts w:ascii="Calibri" w:hAnsi="Calibri"/>
          <w:i/>
          <w:color w:val="17221C"/>
          <w:sz w:val="18"/>
        </w:rPr>
        <w:t>“We have tee times available at 3:18, 3:27, 3:36, and 3:45 this afternoon.” The caller selected 3:36 PM.</w:t>
      </w:r>
    </w:p>
    <w:p>
      <w:pPr>
        <w:spacing w:after="20"/>
      </w:pPr>
      <w:r>
        <w:rPr>
          <w:rFonts w:ascii="Calibri" w:hAnsi="Calibri"/>
          <w:b/>
          <w:color w:val="5F6B64"/>
          <w:sz w:val="16"/>
        </w:rPr>
        <w:t>Call on 30 July at 7:49 PM</w:t>
      </w:r>
    </w:p>
    <w:p>
      <w:r>
        <w:br w:type="page"/>
      </w:r>
    </w:p>
    <w:p>
      <w:pPr>
        <w:spacing w:after="100"/>
      </w:pPr>
      <w:r>
        <w:drawing>
          <wp:inline xmlns:a="http://schemas.openxmlformats.org/drawingml/2006/main" xmlns:pic="http://schemas.openxmlformats.org/drawingml/2006/picture">
            <wp:extent cx="1508760" cy="377190"/>
            <wp:docPr id="2" name="Picture 2" descr="SpeakSport logo" title="SpeakSport"/>
            <wp:cNvGraphicFramePr>
              <a:graphicFrameLocks noChangeAspect="1"/>
            </wp:cNvGraphicFramePr>
            <a:graphic>
              <a:graphicData uri="http://schemas.openxmlformats.org/drawingml/2006/picture">
                <pic:pic>
                  <pic:nvPicPr>
                    <pic:cNvPr id="0" name="speaksport-logo.png"/>
                    <pic:cNvPicPr/>
                  </pic:nvPicPr>
                  <pic:blipFill>
                    <a:blip r:embed="rId10"/>
                    <a:stretch>
                      <a:fillRect/>
                    </a:stretch>
                  </pic:blipFill>
                  <pic:spPr>
                    <a:xfrm>
                      <a:off x="0" y="0"/>
                      <a:ext cx="1508760" cy="377190"/>
                    </a:xfrm>
                    <a:prstGeom prst="rect"/>
                  </pic:spPr>
                </pic:pic>
              </a:graphicData>
            </a:graphic>
          </wp:inline>
        </w:drawing>
      </w:r>
    </w:p>
    <w:p>
      <w:pPr>
        <w:pStyle w:val="Heading1"/>
      </w:pPr>
      <w:r>
        <w:t>What we have rolled out</w:t>
      </w:r>
    </w:p>
    <w:p>
      <w:r>
        <w:rPr>
          <w:rFonts w:ascii="Calibri" w:hAnsi="Calibri"/>
          <w:color w:val="17221C"/>
          <w:sz w:val="21"/>
        </w:rPr>
        <w:t>We have continued strengthening the integrated experience around booking accuracy, reservation servicing and clearer operational insight.</w:t>
      </w:r>
    </w:p>
    <w:p>
      <w:pPr>
        <w:keepLines/>
        <w:spacing w:before="80" w:after="40"/>
      </w:pPr>
      <w:r>
        <w:rPr>
          <w:rFonts w:ascii="Calibri" w:hAnsi="Calibri"/>
          <w:b/>
          <w:color w:val="00633A"/>
          <w:sz w:val="21"/>
        </w:rPr>
        <w:t xml:space="preserve">Cancellations on the call. </w:t>
      </w:r>
      <w:r>
        <w:rPr>
          <w:rFonts w:ascii="Calibri" w:hAnsi="Calibri"/>
          <w:color w:val="17221C"/>
          <w:sz w:val="21"/>
        </w:rPr>
        <w:t>Golfers can now cancel eligible bookings directly with SpeakSport, reducing avoidable transfers and making it easier to release tee times promptly.</w:t>
      </w:r>
    </w:p>
    <w:p>
      <w:pPr>
        <w:keepLines/>
        <w:spacing w:before="80" w:after="40"/>
      </w:pPr>
      <w:r>
        <w:rPr>
          <w:rFonts w:ascii="Calibri" w:hAnsi="Calibri"/>
          <w:b/>
          <w:color w:val="00633A"/>
          <w:sz w:val="21"/>
        </w:rPr>
        <w:t xml:space="preserve">Stronger booking-eligibility verification. </w:t>
      </w:r>
      <w:r>
        <w:rPr>
          <w:rFonts w:ascii="Calibri" w:hAnsi="Calibri"/>
          <w:color w:val="17221C"/>
          <w:sz w:val="21"/>
        </w:rPr>
        <w:t>Booking windows, customer context and other applicable booking rules are checked before a reservation is created.</w:t>
      </w:r>
    </w:p>
    <w:p>
      <w:pPr>
        <w:keepLines/>
        <w:spacing w:before="80" w:after="40"/>
      </w:pPr>
      <w:r>
        <w:rPr>
          <w:rFonts w:ascii="Calibri" w:hAnsi="Calibri"/>
          <w:b/>
          <w:color w:val="00633A"/>
          <w:sz w:val="21"/>
        </w:rPr>
        <w:t xml:space="preserve">Upcoming-booking confirmations. </w:t>
      </w:r>
      <w:r>
        <w:rPr>
          <w:rFonts w:ascii="Calibri" w:hAnsi="Calibri"/>
          <w:color w:val="17221C"/>
          <w:sz w:val="21"/>
        </w:rPr>
        <w:t>When golfers ask about an upcoming reservation, SpeakSport can retrieve and confirm the booking details during the call.</w:t>
      </w:r>
    </w:p>
    <w:p>
      <w:pPr>
        <w:keepLines/>
        <w:spacing w:before="80" w:after="40"/>
      </w:pPr>
      <w:r>
        <w:rPr>
          <w:rFonts w:ascii="Calibri" w:hAnsi="Calibri"/>
          <w:b/>
          <w:color w:val="00633A"/>
          <w:sz w:val="21"/>
        </w:rPr>
        <w:t xml:space="preserve">Richer back-office reporting. </w:t>
      </w:r>
      <w:r>
        <w:rPr>
          <w:rFonts w:ascii="Calibri" w:hAnsi="Calibri"/>
          <w:color w:val="17221C"/>
          <w:sz w:val="21"/>
        </w:rPr>
        <w:t>The dashboard now supports filtering calls by intent, category and outcome, making performance patterns and operational opportunities easier to find.</w:t>
      </w:r>
    </w:p>
    <w:p>
      <w:pPr>
        <w:pStyle w:val="Heading1"/>
      </w:pPr>
      <w:r>
        <w:t>Building the next chapter together</w:t>
      </w:r>
    </w:p>
    <w:p>
      <w:pPr>
        <w:spacing w:after="140"/>
      </w:pPr>
      <w:r>
        <w:rPr>
          <w:rFonts w:ascii="Calibri" w:hAnsi="Calibri"/>
          <w:color w:val="17221C"/>
          <w:sz w:val="21"/>
        </w:rPr>
        <w:t>We will continue enriching SpeakSport with capabilities such as self-serve knowledge-base updates and even better reporting. We would love The Resort Golf Club to remain part of that journey—please keep sharing feedback, ideas and initiatives you would like us to explore.</w:t>
      </w:r>
    </w:p>
    <w:p>
      <w:pPr>
        <w:spacing w:before="60" w:after="60"/>
      </w:pPr>
      <w:r>
        <w:rPr>
          <w:rFonts w:ascii="Calibri" w:hAnsi="Calibri"/>
          <w:b/>
          <w:color w:val="008A45"/>
          <w:sz w:val="16"/>
        </w:rPr>
        <w:t>NEAR-TERM DIRECTION</w:t>
      </w:r>
    </w:p>
    <w:tbl>
      <w:tblPr>
        <w:tblW w:type="dxa" w:w="9360"/>
        <w:jc w:val="left"/>
        <w:tblLayout w:type="fixed"/>
        <w:tblLook w:firstColumn="1" w:firstRow="1" w:lastColumn="0" w:lastRow="0" w:noHBand="0" w:noVBand="1" w:val="04A0"/>
        <w:tblInd w:w="120" w:type="dxa"/>
        <w:tblBorders>
          <w:top w:val="single" w:sz="5" w:color="D7E4DC"/>
          <w:left w:val="single" w:sz="5" w:color="D7E4DC"/>
          <w:bottom w:val="single" w:sz="5" w:color="D7E4DC"/>
          <w:right w:val="single" w:sz="5" w:color="D7E4DC"/>
          <w:insideH w:val="single" w:sz="5" w:color="D7E4DC"/>
          <w:insideV w:val="single" w:sz="5" w:color="D7E4DC"/>
        </w:tblBorders>
      </w:tblPr>
      <w:tblGrid>
        <w:gridCol w:w="4680"/>
        <w:gridCol w:w="4680"/>
      </w:tblGrid>
      <w:tr>
        <w:tc>
          <w:tcPr>
            <w:tcW w:type="dxa" w:w="4680"/>
            <w:tcMar>
              <w:top w:w="120" w:type="dxa"/>
              <w:bottom w:w="120" w:type="dxa"/>
              <w:start w:w="150" w:type="dxa"/>
              <w:end w:w="150" w:type="dxa"/>
            </w:tcMar>
            <w:vAlign w:val="center"/>
            <w:shd w:fill="EAF6EF"/>
          </w:tcPr>
          <w:p>
            <w:pPr>
              <w:spacing w:after="40"/>
            </w:pPr>
            <w:r>
              <w:rPr>
                <w:rFonts w:ascii="Calibri" w:hAnsi="Calibri"/>
                <w:b/>
                <w:color w:val="00633A"/>
                <w:sz w:val="22"/>
              </w:rPr>
              <w:t>Self-serve knowledge base</w:t>
            </w:r>
          </w:p>
          <w:p>
            <w:pPr>
              <w:spacing w:after="0"/>
            </w:pPr>
            <w:r>
              <w:rPr>
                <w:rFonts w:ascii="Calibri" w:hAnsi="Calibri"/>
                <w:color w:val="17221C"/>
                <w:sz w:val="18"/>
              </w:rPr>
              <w:t>Make it easier for your team to keep rates, policies, facility information and caller guidance current.</w:t>
            </w:r>
          </w:p>
        </w:tc>
        <w:tc>
          <w:tcPr>
            <w:tcW w:type="dxa" w:w="4680"/>
            <w:tcMar>
              <w:top w:w="120" w:type="dxa"/>
              <w:bottom w:w="120" w:type="dxa"/>
              <w:start w:w="150" w:type="dxa"/>
              <w:end w:w="150" w:type="dxa"/>
            </w:tcMar>
            <w:vAlign w:val="center"/>
            <w:shd w:fill="F3F5F4"/>
          </w:tcPr>
          <w:p>
            <w:pPr>
              <w:spacing w:after="40"/>
            </w:pPr>
            <w:r>
              <w:rPr>
                <w:rFonts w:ascii="Calibri" w:hAnsi="Calibri"/>
                <w:b/>
                <w:color w:val="00633A"/>
                <w:sz w:val="22"/>
              </w:rPr>
              <w:t>Even better reporting</w:t>
            </w:r>
          </w:p>
          <w:p>
            <w:pPr>
              <w:spacing w:after="0"/>
            </w:pPr>
            <w:r>
              <w:rPr>
                <w:rFonts w:ascii="Calibri" w:hAnsi="Calibri"/>
                <w:color w:val="17221C"/>
                <w:sz w:val="18"/>
              </w:rPr>
              <w:t>Add clearer views of booking demand, eligibility, preferred playing times and caller outcomes.</w:t>
            </w:r>
          </w:p>
        </w:tc>
      </w:tr>
    </w:tbl>
    <w:p>
      <w:pPr>
        <w:spacing w:before="40" w:after="200"/>
        <w:ind w:left="144" w:right="144"/>
        <w:shd w:fill="EAF6EF"/>
        <w:pBdr>
          <w:left w:val="single" w:sz="18" w:space="8" w:color="008A45"/>
        </w:pBdr>
      </w:pPr>
      <w:r>
        <w:rPr>
          <w:rFonts w:ascii="Calibri" w:hAnsi="Calibri"/>
          <w:b/>
          <w:color w:val="00633A"/>
          <w:sz w:val="22"/>
        </w:rPr>
        <w:t xml:space="preserve">Have an idea for us? </w:t>
      </w:r>
      <w:r>
        <w:rPr>
          <w:rFonts w:ascii="Calibri" w:hAnsi="Calibri"/>
          <w:color w:val="17221C"/>
          <w:sz w:val="22"/>
        </w:rPr>
        <w:t>Email BK at bk@speaksport.ai or Mohit at mohit@speaksport.ai.</w:t>
      </w:r>
    </w:p>
    <w:p>
      <w:pPr>
        <w:spacing w:before="240" w:after="0"/>
      </w:pPr>
      <w:r>
        <w:rPr>
          <w:rFonts w:ascii="Calibri" w:hAnsi="Calibri"/>
          <w:b/>
          <w:color w:val="5F6B64"/>
          <w:sz w:val="16"/>
        </w:rPr>
        <w:t>About the figures and excerpts</w:t>
      </w:r>
    </w:p>
    <w:p>
      <w:pPr>
        <w:spacing w:after="0" w:line="240" w:lineRule="auto"/>
      </w:pPr>
      <w:r>
        <w:rPr>
          <w:rFonts w:ascii="Calibri" w:hAnsi="Calibri"/>
          <w:color w:val="5F6B64"/>
          <w:sz w:val="15"/>
        </w:rPr>
        <w:t>Dashboard figures were supplied from The Resort Golf Club SpeakSport dashboard. Call excerpts were selected from 404 calls reviewed for 24–31 July 2026 and lightly edited only for transcription clarity; personal contact details were omitted.</w:t>
      </w:r>
    </w:p>
    <w:sectPr w:rsidR="00FC693F" w:rsidRPr="0006063C" w:rsidSect="00034616">
      <w:footerReference w:type="default" r:id="rId9"/>
      <w:pgSz w:w="12240" w:h="15840"/>
      <w:pgMar w:top="835" w:right="1440" w:bottom="864"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Borders>
        <w:top w:val="single" w:sz="0" w:color="FFFFFF"/>
        <w:left w:val="single" w:sz="0" w:color="FFFFFF"/>
        <w:bottom w:val="single" w:sz="0" w:color="FFFFFF"/>
        <w:right w:val="single" w:sz="0" w:color="FFFFFF"/>
        <w:insideH w:val="single" w:sz="0" w:color="FFFFFF"/>
        <w:insideV w:val="single" w:sz="0" w:color="FFFFFF"/>
      </w:tblBorders>
    </w:tblPr>
    <w:tblGrid>
      <w:gridCol w:w="6500"/>
      <w:gridCol w:w="2860"/>
    </w:tblGrid>
    <w:tr>
      <w:tc>
        <w:tcPr>
          <w:tcW w:type="dxa" w:w="6500"/>
          <w:tcMar>
            <w:top w:w="120" w:type="dxa"/>
            <w:bottom w:w="120" w:type="dxa"/>
            <w:start w:w="150" w:type="dxa"/>
            <w:end w:w="150" w:type="dxa"/>
          </w:tcMar>
          <w:vAlign w:val="center"/>
        </w:tcPr>
        <w:p>
          <w:r>
            <w:rPr>
              <w:rFonts w:ascii="Calibri" w:hAnsi="Calibri"/>
              <w:color w:val="5F6B64"/>
              <w:sz w:val="16"/>
            </w:rPr>
            <w:t>SpeakSport · Customer performance update</w:t>
          </w:r>
        </w:p>
      </w:tc>
      <w:tc>
        <w:tcPr>
          <w:tcW w:type="dxa" w:w="2860"/>
          <w:tcMar>
            <w:top w:w="120" w:type="dxa"/>
            <w:bottom w:w="120" w:type="dxa"/>
            <w:start w:w="150" w:type="dxa"/>
            <w:end w:w="150" w:type="dxa"/>
          </w:tcMar>
          <w:vAlign w:val="center"/>
        </w:tcPr>
        <w:p>
          <w:pPr>
            <w:jc w:val="right"/>
          </w:pPr>
          <w:r>
            <w:rPr>
              <w:rFonts w:ascii="Calibri" w:hAnsi="Calibri"/>
              <w:color w:val="5F6B64"/>
              <w:sz w:val="16"/>
            </w:rPr>
            <w:t>31 July 2026</w:t>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64" w:lineRule="auto"/>
    </w:pPr>
    <w:rPr>
      <w:rFonts w:ascii="Calibri" w:hAnsi="Calibri"/>
      <w:color w:val="1722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633A"/>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00633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SpeakSport performance update - The Resort Golf Club</dc:title>
  <dc:subject>Customer performance update</dc:subject>
  <dc:creator>SpeakSport</dc:creator>
  <cp:keywords>SpeakSport, customer performance, golf operations</cp:keywords>
  <dc:description>generated by python-docx</dc:description>
  <cp:lastModifiedBy/>
  <cp:revision>1</cp:revision>
  <dcterms:created xsi:type="dcterms:W3CDTF">2013-12-23T23:15:00Z</dcterms:created>
  <dcterms:modified xsi:type="dcterms:W3CDTF">2013-12-23T23:15:00Z</dcterms:modified>
  <cp:category/>
</cp:coreProperties>
</file>