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Timber Trace Golf Club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25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2,228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Calls handled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214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Bookings completed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$10,303.00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 revenue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14h 35m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Time saved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56.8%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First-call resolution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$810.56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Estimated cost saved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1,102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calls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$4,799.00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 revenue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56.4%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FCR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637 calls from 16–23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same-day single-player request converted with a nearby alternative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The caller wanted to play 18 holes at 1:15 PM that afternoon. When that time was unavailable, SpeakSport immediately offered the earliest viable alternative and completed the reservation for 1:30 PM.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“I don’t have 1:15 PM available. I do have 1:30 PM available for you.” The caller accepted, and SpeakSport confirmed the same-day booking.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22 July at 4:10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payment question was answered without interrupting the booking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caller requested a two-player, nine-hole evening tee time and asked whether payment could be made on arrival. SpeakSport answered the question, confirmed the required details and completed the 6:50 PM reservation.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“Absolutely. You can pay when you arrive.” SpeakSport then confirmed the booking and reminded the caller that carts were included in the green fee.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6:28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Detailed driving-range guidance was handled in under a minute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SpeakSport answered a routine operational question with the regular range hours, the Wednesday maintenance opening time and the course’s grass-versus-mat schedule—without requiring a staff transfer.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driving range is open from 8:00 AM to 8:00 PM. Since today is Wednesday, it opens late at 10:00 AM for maintenance.”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22 July at 9:02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making it easier to release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Booking windows, customer context and other applicable booking rules are checked before a reservation is created.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retrieve and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Timber Trace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rates, policies, facility information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eligibility, preferred playing times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Timber Trace SpeakSport dashboard. Call excerpts were selected from 637 calls reviewed for 16–23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25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Timber Trace Golf Club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