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60"/>
      </w:pPr>
      <w:r>
        <w:rPr>
          <w:rFonts w:ascii="Arial" w:hAnsi="Arial"/>
          <w:i w:val="0"/>
          <w:color w:val="008F45"/>
          <w:sz w:val="21"/>
        </w:rPr>
        <w:t>CUSTOMER TRANSFER REDUCTION DIAGNOSTIC</w:t>
      </w:r>
    </w:p>
    <w:p>
      <w:pPr>
        <w:pStyle w:val="Title"/>
      </w:pPr>
      <w:r>
        <w:t>San Juan Oaks</w:t>
      </w:r>
    </w:p>
    <w:p>
      <w:pPr>
        <w:pStyle w:val="Subtitle"/>
      </w:pPr>
      <w:r>
        <w:t>Why calls are reaching the pro shop - and how to reduce avoidable transfers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560"/>
        <w:gridCol w:w="3400"/>
      </w:tblGrid>
      <w:tr>
        <w:trPr>
          <w:tblHeader w:val="true"/>
        </w:trPr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5F4EC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B3F"/>
                <w:sz w:val="19"/>
              </w:rPr>
              <w:t>Review period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5F4EC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B3F"/>
                <w:sz w:val="19"/>
              </w:rPr>
              <w:t>Calls reviewed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5F4EC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06B3F"/>
                <w:sz w:val="19"/>
              </w:rPr>
              <w:t>Prepared</w:t>
            </w:r>
          </w:p>
        </w:tc>
      </w:tr>
      <w:tr>
        <w:tc>
          <w:tcPr>
            <w:tcW w:type="dxa" w:w="3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9"/>
              </w:rPr>
              <w:t>21 July-4 August 2026</w:t>
            </w:r>
          </w:p>
        </w:tc>
        <w:tc>
          <w:tcPr>
            <w:tcW w:type="dxa" w:w="25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9"/>
              </w:rPr>
              <w:t>523</w:t>
            </w:r>
          </w:p>
        </w:tc>
        <w:tc>
          <w:tcPr>
            <w:tcW w:type="dxa" w:w="3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9"/>
              </w:rPr>
              <w:t>4 August 2026</w:t>
            </w:r>
          </w:p>
        </w:tc>
      </w:tr>
    </w:tbl>
    <w:p>
      <w:pPr>
        <w:spacing w:after="20"/>
      </w:pPr>
    </w:p>
    <w:p>
      <w:pPr>
        <w:pStyle w:val="LeadCallout"/>
      </w:pPr>
      <w:r>
        <w:rPr>
          <w:rFonts w:ascii="Arial" w:hAnsi="Arial"/>
          <w:b/>
          <w:color w:val="17221D"/>
        </w:rPr>
        <w:t xml:space="preserve">Bottom line: </w:t>
      </w:r>
      <w:r>
        <w:rPr>
          <w:rFonts w:ascii="Arial" w:hAnsi="Arial"/>
          <w:i w:val="0"/>
          <w:color w:val="17221D"/>
        </w:rPr>
        <w:t>the client’s perception is supported by the data.</w:t>
      </w:r>
    </w:p>
    <w:p>
      <w:r>
        <w:rPr>
          <w:rFonts w:ascii="Arial" w:hAnsi="Arial"/>
          <w:i w:val="0"/>
          <w:color w:val="17221D"/>
          <w:sz w:val="22"/>
        </w:rPr>
        <w:t>The AI forwarded 361 calls (69.0%). Of these, 267 went specifically to the golf shop/pro shop - 51.1% of all calls. The golf-shop transfer rate was essentially flat across the two complete seven-day periods (51.5% then 50.8%), so staff would not yet feel a tangible reduction.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523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calls reviewed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361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all forwards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267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to golf shop</w:t>
            </w:r>
          </w:p>
        </w:tc>
        <w:tc>
          <w:tcPr>
            <w:tcW w:type="dxa" w:w="23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51.1%</w:t>
            </w:r>
            <w:r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of all calls</w:t>
            </w:r>
          </w:p>
        </w:tc>
      </w:tr>
    </w:tbl>
    <w:p>
      <w:pPr>
        <w:spacing w:after="40"/>
      </w:pPr>
    </w:p>
    <w:p>
      <w:pPr>
        <w:pStyle w:val="Heading1"/>
      </w:pPr>
      <w:r>
        <w:t>The central finding</w:t>
      </w:r>
    </w:p>
    <w:p>
      <w:r>
        <w:rPr>
          <w:rFonts w:ascii="Arial" w:hAnsi="Arial"/>
          <w:i w:val="0"/>
          <w:color w:val="17221D"/>
          <w:sz w:val="21"/>
        </w:rPr>
        <w:t>There is no single cause. Nearly half of golf-shop transfers are driven by callers asking for a person before stating a need; the remainder is concentrated in booking-service gaps, live information gaps, and avoidable interaction friction. The reduction plan therefore needs coordinated work across product, prompt/experience design, and course-supplied operational knowledge.</w:t>
      </w:r>
    </w:p>
    <w:p>
      <w:pPr>
        <w:pStyle w:val="NoteCallout"/>
      </w:pPr>
      <w:r>
        <w:rPr>
          <w:rFonts w:ascii="Arial" w:hAnsi="Arial"/>
          <w:i w:val="0"/>
          <w:color w:val="17221D"/>
        </w:rPr>
        <w:t>This report is designed for joint review by SpeakSport and San Juan Oaks. It distinguishes transfers that are addressable from transfers that should remain human.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1563878"/>
            <wp:docPr id="1" name="Picture 1" descr="Distribution of 523 calls: 162 not marked forwarded, 267 forwarded to the golf shop, and 94 forwarded elsewhere." title="Distribution of 523 calls: 162 not marked forwarded, 267 forwarded to the golf shop, and 94 forwarded elsewhe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outco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6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/>
          <w:i/>
          <w:color w:val="63706A"/>
          <w:sz w:val="17"/>
        </w:rPr>
        <w:t>Source: SpeakSport call export; a “forward” is identified from ended_reason = assistant-forwarded-call.</w:t>
      </w:r>
    </w:p>
    <w:p>
      <w:pPr>
        <w:pStyle w:val="Heading2"/>
      </w:pPr>
      <w:r>
        <w:t>What the numbers say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361 of 523 calls were forwarded (69.0%); 162 calls (31.0%) were not marked as forwarded. “Not forwarded” is not automatically equivalent to successfully resolved.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267 calls reached the golf shop/pro shop - 74.0% of all forwards and 51.1% of every call in the sample.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94 forwards (18.0% of all calls) went elsewhere, primarily to restaurants and events. These do not contribute directly to golf-shop load, but they explain why the overall forward rate is higher than the pro-shop rate.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153 of the 267 golf-shop transfers (57.3%) began with an immediate caller request for a person or destination. 103 (38.6%) were initiated by the AI because of a gap/routing rule; 11 (4.1%) followed an attempted self-service interaction.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The largest product-shaped cluster is booking servicing: 25 cancellations, 32 modifications/confirmations, and 9 group/multiple-tee-time requests reached the golf shop.</w:t>
      </w:r>
    </w:p>
    <w:p>
      <w:pPr>
        <w:pStyle w:val="RiskCallout"/>
      </w:pPr>
      <w:r>
        <w:rPr>
          <w:rFonts w:ascii="Arial" w:hAnsi="Arial"/>
          <w:b/>
          <w:color w:val="17221D"/>
        </w:rPr>
        <w:t xml:space="preserve">Priority signal: </w:t>
      </w:r>
      <w:r>
        <w:rPr>
          <w:rFonts w:ascii="Arial" w:hAnsi="Arial"/>
          <w:i w:val="0"/>
          <w:color w:val="17221D"/>
        </w:rPr>
        <w:t>the prior 31 July update states that on-call cancellations and upcoming-booking confirmations had been rolled out. Yet the reviewed calls still include 25 cancellation transfers and 32 modification/confirmation transfers, including a cancellation on 3 August. This should be treated first as a production/configuration/prompt consistency issue, not as a request for a brand-new capability.</w:t>
      </w:r>
    </w:p>
    <w:p>
      <w:r>
        <w:br w:type="page"/>
      </w:r>
    </w:p>
    <w:p>
      <w:pPr>
        <w:pStyle w:val="Heading1"/>
      </w:pPr>
      <w:r>
        <w:t>1. Transfer landscape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74620"/>
            <wp:docPr id="2" name="Picture 2" descr="Golf-shop transfer rate was 51.5 percent from 21 to 27 July and 50.8 percent from 28 July to 3 August." title="Golf-shop transfer rate was 51.5 percent from 21 to 27 July and 50.8 percent from 28 July to 3 Aug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40"/>
        <w:jc w:val="center"/>
      </w:pPr>
      <w:r>
        <w:rPr>
          <w:rFonts w:ascii="Arial" w:hAnsi="Arial"/>
          <w:i/>
          <w:color w:val="63706A"/>
          <w:sz w:val="17"/>
        </w:rPr>
        <w:t>Two complete seven-day periods; 4 August is excluded because it is a partial day in the export.</w:t>
      </w:r>
    </w:p>
    <w:p>
      <w:r>
        <w:rPr>
          <w:rFonts w:ascii="Arial" w:hAnsi="Arial"/>
          <w:i w:val="0"/>
          <w:color w:val="17221D"/>
          <w:sz w:val="21"/>
        </w:rPr>
        <w:t>Golf-shop transfer volume did not materially improve week over week. The overall forward rate rose from 66.5% to 71.8%, while the rate specifically reaching the golf shop stayed nearly unchanged: 51.5% versus 50.8%. Daily rates were volatile, so the two-week sample should be treated as a baseline rather than a long-term trend.</w:t>
      </w:r>
    </w:p>
    <w:p>
      <w:pPr>
        <w:pStyle w:val="Heading2"/>
      </w:pPr>
      <w:r>
        <w:t>Where forwarded calls went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400"/>
        <w:gridCol w:w="1800"/>
        <w:gridCol w:w="1760"/>
      </w:tblGrid>
      <w:tr>
        <w:trPr>
          <w:tblHeader w:val="true"/>
        </w:trPr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Destination</w:t>
            </w:r>
          </w:p>
        </w:tc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Calls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% of forwards</w:t>
            </w:r>
          </w:p>
        </w:tc>
        <w:tc>
          <w:tcPr>
            <w:tcW w:type="dxa" w:w="1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% of all calls</w:t>
            </w:r>
          </w:p>
        </w:tc>
      </w:tr>
      <w:tr>
        <w:tc>
          <w:tcPr>
            <w:tcW w:type="dxa" w:w="4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Golf shop / pro shop</w:t>
            </w:r>
          </w:p>
        </w:tc>
        <w:tc>
          <w:tcPr>
            <w:tcW w:type="dxa" w:w="1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267</w:t>
            </w:r>
          </w:p>
        </w:tc>
        <w:tc>
          <w:tcPr>
            <w:tcW w:type="dxa" w:w="18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74.0%</w:t>
            </w:r>
          </w:p>
        </w:tc>
        <w:tc>
          <w:tcPr>
            <w:tcW w:type="dxa" w:w="17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51.1%</w:t>
            </w:r>
          </w:p>
        </w:tc>
      </w:tr>
      <w:tr>
        <w:tc>
          <w:tcPr>
            <w:tcW w:type="dxa" w:w="44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36 Degrees North</w:t>
            </w:r>
          </w:p>
        </w:tc>
        <w:tc>
          <w:tcPr>
            <w:tcW w:type="dxa" w:w="14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36</w:t>
            </w:r>
          </w:p>
        </w:tc>
        <w:tc>
          <w:tcPr>
            <w:tcW w:type="dxa" w:w="18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10.0%</w:t>
            </w:r>
          </w:p>
        </w:tc>
        <w:tc>
          <w:tcPr>
            <w:tcW w:type="dxa" w:w="17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6.9%</w:t>
            </w:r>
          </w:p>
        </w:tc>
      </w:tr>
      <w:tr>
        <w:tc>
          <w:tcPr>
            <w:tcW w:type="dxa" w:w="4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McCann’s Bar &amp; Grill</w:t>
            </w:r>
          </w:p>
        </w:tc>
        <w:tc>
          <w:tcPr>
            <w:tcW w:type="dxa" w:w="1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23</w:t>
            </w:r>
          </w:p>
        </w:tc>
        <w:tc>
          <w:tcPr>
            <w:tcW w:type="dxa" w:w="18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6.4%</w:t>
            </w:r>
          </w:p>
        </w:tc>
        <w:tc>
          <w:tcPr>
            <w:tcW w:type="dxa" w:w="17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4.4%</w:t>
            </w:r>
          </w:p>
        </w:tc>
      </w:tr>
      <w:tr>
        <w:tc>
          <w:tcPr>
            <w:tcW w:type="dxa" w:w="44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Events / group sales</w:t>
            </w:r>
          </w:p>
        </w:tc>
        <w:tc>
          <w:tcPr>
            <w:tcW w:type="dxa" w:w="14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17</w:t>
            </w:r>
          </w:p>
        </w:tc>
        <w:tc>
          <w:tcPr>
            <w:tcW w:type="dxa" w:w="18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4.7%</w:t>
            </w:r>
          </w:p>
        </w:tc>
        <w:tc>
          <w:tcPr>
            <w:tcW w:type="dxa" w:w="17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3.3%</w:t>
            </w:r>
          </w:p>
        </w:tc>
      </w:tr>
      <w:tr>
        <w:tc>
          <w:tcPr>
            <w:tcW w:type="dxa" w:w="4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Other or named destinations</w:t>
            </w:r>
          </w:p>
        </w:tc>
        <w:tc>
          <w:tcPr>
            <w:tcW w:type="dxa" w:w="14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18</w:t>
            </w:r>
          </w:p>
        </w:tc>
        <w:tc>
          <w:tcPr>
            <w:tcW w:type="dxa" w:w="18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5.0%</w:t>
            </w:r>
          </w:p>
        </w:tc>
        <w:tc>
          <w:tcPr>
            <w:tcW w:type="dxa" w:w="17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8"/>
              </w:rPr>
              <w:t>3.4%</w:t>
            </w:r>
          </w:p>
        </w:tc>
      </w:tr>
    </w:tbl>
    <w:p>
      <w:pPr>
        <w:spacing w:after="20"/>
      </w:pPr>
    </w:p>
    <w:p>
      <w:pPr>
        <w:pStyle w:val="LeadCallout"/>
      </w:pPr>
      <w:r>
        <w:rPr>
          <w:rFonts w:ascii="Arial" w:hAnsi="Arial"/>
          <w:b/>
          <w:color w:val="17221D"/>
        </w:rPr>
        <w:t xml:space="preserve">Interpretation: </w:t>
      </w:r>
      <w:r>
        <w:rPr>
          <w:rFonts w:ascii="Arial" w:hAnsi="Arial"/>
          <w:i w:val="0"/>
          <w:color w:val="17221D"/>
        </w:rPr>
        <w:t>the customer’s operational concern is narrower than the overall 69.0% headline. The most relevant baseline is 51.1% of all calls reaching the golf shop.</w:t>
      </w:r>
    </w:p>
    <w:p>
      <w:r>
        <w:br w:type="page"/>
      </w:r>
    </w:p>
    <w:p>
      <w:pPr>
        <w:pStyle w:val="Heading1"/>
      </w:pPr>
      <w:r>
        <w:t>2. Why calls reach the golf shop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93770"/>
            <wp:docPr id="3" name="Picture 3" descr="Bar chart of primary reasons for 267 golf-shop transfers, led by 120 immediate or unspecified routing requests." title="Bar chart of primary reasons for 267 golf-shop transfers, led by 120 immediate or unspecified routing reques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hop_rea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 w:val="0"/>
          <w:color w:val="63706A"/>
          <w:sz w:val="19"/>
        </w:rPr>
        <w:t>The 267 golf-shop transfers were assigned one primary intent. “Immediate / unspecified routing” means the caller asked for the golf shop, an operator, or a representative without revealing a resolvable task. “Other specialist needs” combines dining, administration, lessons, and events that happened to route to the golf shop.</w:t>
      </w:r>
    </w:p>
    <w:p>
      <w:pPr>
        <w:pStyle w:val="Heading2"/>
      </w:pPr>
      <w:r>
        <w:t>Who initiated the transfer?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2238756"/>
            <wp:docPr id="4" name="Picture 4" descr="Transfer initiation split: 153 caller-led immediately, 103 initiated by the AI, and 11 later caller escalations." title="Transfer initiation split: 153 caller-led immediately, 103 initiated by the AI, and 11 later caller escal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3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Root cause A - callers ask for a person immediately</w:t>
      </w:r>
    </w:p>
    <w:p>
      <w:pPr>
        <w:pStyle w:val="LeadCallout"/>
      </w:pPr>
      <w:r>
        <w:rPr>
          <w:rFonts w:ascii="Arial" w:hAnsi="Arial"/>
          <w:i w:val="0"/>
          <w:color w:val="17221D"/>
        </w:rPr>
        <w:t>153 golf-shop transfers (57.3%) were caller-led from the outset. Within the full golf-shop set, 120 calls (44.9%) contained no substantive need beyond “pro shop,” “golf shop,” “operator,” or an equivalent request.</w:t>
      </w:r>
    </w:p>
    <w:p>
      <w:pPr>
        <w:pStyle w:val="Heading2"/>
      </w:pPr>
      <w:r>
        <w:t>What is happening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The caller arrives with a routing habit: they dial the main number expecting the pro shop, not an automated service.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The assistant typically confirms the destination and transfers immediately. It does not consistently make a short, task-specific attempt to surface whether the need is one it can resolve.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Some callers reveal a tee-time need only after asking for a person. These are the best candidates for a brief AI-first rescue; callers seeking a named staff member should still be routed promptly.</w:t>
      </w:r>
    </w:p>
    <w:p>
      <w:pPr>
        <w:pStyle w:val="Heading2"/>
      </w:pPr>
      <w:r>
        <w:t>Recommended treatment</w:t>
      </w:r>
    </w:p>
    <w:p>
      <w:r>
        <w:rPr>
          <w:rFonts w:ascii="Arial" w:hAnsi="Arial"/>
          <w:b/>
          <w:color w:val="17221D"/>
        </w:rPr>
        <w:t>Use a one-question soft gate, never a hard barrier:</w:t>
      </w:r>
      <w:r>
        <w:rPr>
          <w:rFonts w:ascii="Arial" w:hAnsi="Arial"/>
          <w:i w:val="0"/>
          <w:color w:val="17221D"/>
        </w:rPr>
      </w:r>
    </w:p>
    <w:p>
      <w:pPr>
        <w:pStyle w:val="LeadCallout"/>
      </w:pPr>
      <w:r>
        <w:rPr>
          <w:rFonts w:ascii="Arial" w:hAnsi="Arial"/>
          <w:i w:val="0"/>
          <w:color w:val="17221D"/>
        </w:rPr>
        <w:t>“I can usually book, change, cancel, confirm, or price a tee time right here. Tell me what you need, or say ‘transfer’ and I’ll connect you.”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If the caller repeats the request, transfer immediately. Do not interrogate or require multiple confirmations.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If the caller names a person, department, restaurant, emergency, or on-course issue, route without attempting containment.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Measure the “rescue acceptance rate”: the share of immediate golf-shop requests that become a completed AI task after one prompt.</w:t>
      </w:r>
    </w:p>
    <w:p>
      <w:pPr>
        <w:pStyle w:val="NoteCallout"/>
      </w:pPr>
      <w:r>
        <w:rPr>
          <w:rFonts w:ascii="Arial" w:hAnsi="Arial"/>
          <w:b/>
          <w:color w:val="17221D"/>
        </w:rPr>
        <w:t xml:space="preserve">Opportunity sizing: </w:t>
      </w:r>
      <w:r>
        <w:rPr>
          <w:rFonts w:ascii="Arial" w:hAnsi="Arial"/>
          <w:i w:val="0"/>
          <w:color w:val="17221D"/>
        </w:rPr>
        <w:t>this lever is large but uncertain. Even a 10%-20% acceptance rate across the 131 golf-shop calls assigned to caller-adoption framing would avoid roughly 13-26 transfers in a comparable two-week period.</w:t>
      </w:r>
    </w:p>
    <w:p>
      <w:r>
        <w:br w:type="page"/>
      </w:r>
    </w:p>
    <w:p>
      <w:pPr>
        <w:pStyle w:val="Heading1"/>
      </w:pPr>
      <w:r>
        <w:t>4. Root cause B - booking-service capability is not consistently reaching callers</w:t>
      </w:r>
    </w:p>
    <w:p>
      <w:r>
        <w:rPr>
          <w:rFonts w:ascii="Arial" w:hAnsi="Arial"/>
          <w:i w:val="0"/>
          <w:color w:val="17221D"/>
          <w:sz w:val="21"/>
        </w:rPr>
        <w:t>Booking servicing accounts for 66 golf-shop transfers: 25 cancellations, 32 modification/confirmation requests, and 9 group/multiple-tee-time requests. Lost-and-found adds another 11 calls that could be handled through a structured intake workflow rather than synchronous transfer.</w:t>
      </w:r>
    </w:p>
    <w:p>
      <w:pPr>
        <w:pStyle w:val="Heading2"/>
      </w:pPr>
      <w:r>
        <w:t>The cancellation and confirmation inconsistency</w:t>
      </w:r>
    </w:p>
    <w:p>
      <w:pPr>
        <w:pStyle w:val="RiskCallout"/>
      </w:pPr>
      <w:r>
        <w:rPr>
          <w:rFonts w:ascii="Arial" w:hAnsi="Arial"/>
          <w:i w:val="0"/>
          <w:color w:val="17221D"/>
        </w:rPr>
        <w:t>The 31 July performance update says on-call cancellations and upcoming-booking confirmations are live. The transcripts nevertheless contain repeated statements such as “I am not able to process tee-time cancellations” followed by transfer. This pattern appears throughout the review window and as late as 3 August.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Audit tenant feature flags, prompt versions, integration permissions, eligibility rules, and fallback branches for San Juan Oaks.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Run scripted regression calls for cancel, confirm, change player count, change date/time, no-email confirmation, and duplicate booking scenarios.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Log the exact reason every servicing attempt falls back: no matching reservation, identity mismatch, ineligible booking, API error, unsupported mutation, or prompt-only refusal.</w:t>
      </w:r>
    </w:p>
    <w:p>
      <w:pPr>
        <w:pStyle w:val="Heading2"/>
      </w:pPr>
      <w:r>
        <w:t>Capability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4700"/>
        <w:gridCol w:w="20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Observed pool</w:t>
            </w:r>
          </w:p>
        </w:tc>
      </w:tr>
      <w:tr>
        <w:tc>
          <w:tcPr>
            <w:tcW w:type="dxa" w:w="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P0</w:t>
            </w:r>
          </w:p>
        </w:tc>
        <w:tc>
          <w:tcPr>
            <w:tcW w:type="dxa" w:w="1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Cancel and confirm</w:t>
            </w:r>
          </w:p>
        </w:tc>
        <w:tc>
          <w:tcPr>
            <w:tcW w:type="dxa" w:w="4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Restore/verify the capability already described as live; remove stale “cannot cancel” branches.</w:t>
            </w:r>
          </w:p>
        </w:tc>
        <w:tc>
          <w:tcPr>
            <w:tcW w:type="dxa" w:w="20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25 cancels + part of 32 confirm/modify</w:t>
            </w:r>
          </w:p>
        </w:tc>
      </w:tr>
      <w:tr>
        <w:tc>
          <w:tcPr>
            <w:tcW w:type="dxa" w:w="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P0</w:t>
            </w:r>
          </w:p>
        </w:tc>
        <w:tc>
          <w:tcPr>
            <w:tcW w:type="dxa" w:w="1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Modify a booking</w:t>
            </w:r>
          </w:p>
        </w:tc>
        <w:tc>
          <w:tcPr>
            <w:tcW w:type="dxa" w:w="4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Support player-count, date, and time changes with eligibility checks and clear confirmation.</w:t>
            </w:r>
          </w:p>
        </w:tc>
        <w:tc>
          <w:tcPr>
            <w:tcW w:type="dxa" w:w="20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32 modify/confirm</w:t>
            </w:r>
          </w:p>
        </w:tc>
      </w:tr>
      <w:tr>
        <w:tc>
          <w:tcPr>
            <w:tcW w:type="dxa" w:w="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P1</w:t>
            </w:r>
          </w:p>
        </w:tc>
        <w:tc>
          <w:tcPr>
            <w:tcW w:type="dxa" w:w="1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Group requests</w:t>
            </w:r>
          </w:p>
        </w:tc>
        <w:tc>
          <w:tcPr>
            <w:tcW w:type="dxa" w:w="4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Capture group size/date/time and either book adjacent inventory or send a structured request to the correct owner.</w:t>
            </w:r>
          </w:p>
        </w:tc>
        <w:tc>
          <w:tcPr>
            <w:tcW w:type="dxa" w:w="20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9 group/multiple</w:t>
            </w:r>
          </w:p>
        </w:tc>
      </w:tr>
      <w:tr>
        <w:tc>
          <w:tcPr>
            <w:tcW w:type="dxa" w:w="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P1</w:t>
            </w:r>
          </w:p>
        </w:tc>
        <w:tc>
          <w:tcPr>
            <w:tcW w:type="dxa" w:w="1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Lost and found intake</w:t>
            </w:r>
          </w:p>
        </w:tc>
        <w:tc>
          <w:tcPr>
            <w:tcW w:type="dxa" w:w="4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Capture item, location, date/time, contact details, and asynchronously notify staff; transfer only for urgent same-day retrieval.</w:t>
            </w:r>
          </w:p>
        </w:tc>
        <w:tc>
          <w:tcPr>
            <w:tcW w:type="dxa" w:w="20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11 lost/found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Root cause C - live knowledge and interaction friction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93770"/>
            <wp:docPr id="5" name="Picture 5" descr="Primary reduction levers for golf-shop transfers: 131 caller adoption, 76 product or workflow, 24 conversation UX, 21 knowledge and data, and 15 appropriate routing." title="Primary reduction levers for golf-shop transfers: 131 caller adoption, 76 product or workflow, 24 conversation UX, 21 k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y_le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Knowledge and live-data gaps</w:t>
      </w:r>
    </w:p>
    <w:p>
      <w:r>
        <w:rPr>
          <w:rFonts w:ascii="Arial" w:hAnsi="Arial"/>
          <w:i w:val="0"/>
          <w:color w:val="17221D"/>
          <w:sz w:val="20"/>
        </w:rPr>
        <w:t>21 golf-shop transfers were assigned primarily to knowledge/data integration. Common themes were exact green-fee pricing, replay or association rates, range closing times, maintenance/punching dates, twilight definitions, dress code, and current course conditions.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Return the exact price alongside every available tee time. Avoid finding inventory and then transferring for the rate.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Add a time-stamped operational feed for range closures, maintenance, frost/cart-path status, and same-day exceptions.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For policies and promotions, store an answer plus an effective date, owner, and expiry/review date.</w:t>
      </w:r>
    </w:p>
    <w:p>
      <w:pPr>
        <w:pStyle w:val="Heading2"/>
      </w:pPr>
      <w:r>
        <w:t>Conversation and booking UX friction</w:t>
      </w:r>
    </w:p>
    <w:p>
      <w:r>
        <w:rPr>
          <w:rFonts w:ascii="Arial" w:hAnsi="Arial"/>
          <w:i w:val="0"/>
          <w:color w:val="17221D"/>
          <w:sz w:val="20"/>
        </w:rPr>
        <w:t>24 golf-shop transfers were assigned primarily to conversation/UX improvement. The most visible friction appears in name/email capture, repeated clarification loops, silence/filler behavior, and booking flows that reach an available tee time but do not complete.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Stop requiring NATO-phonetic spelling for routine names and email addresses. Confirm naturally, use the caller’s known profile/ANI when permitted, or send an SMS form/link for correction.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Remove stray system utterances such as “I lost track,” “I’ll proceed with scheduling,” or repeated hold language that make the assistant feel unreliable.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When confidence is low, summarize what was understood once and offer two choices. Do not keep asking open-ended clarification questions.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Instrument booking drop-off by step: date, players, time, name, email, lookup, price, confirmation, payment/eligibility, and API completion.</w:t>
      </w:r>
    </w:p>
    <w:p>
      <w:r>
        <w:br w:type="page"/>
      </w:r>
    </w:p>
    <w:p>
      <w:pPr>
        <w:pStyle w:val="Heading1"/>
      </w:pPr>
      <w:r>
        <w:t>6. What callers experienced - representative patterns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740"/>
        <w:gridCol w:w="387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74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Observed experience</w:t>
            </w:r>
          </w:p>
        </w:tc>
        <w:tc>
          <w:tcPr>
            <w:tcW w:type="dxa" w:w="387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Reduction approach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Immediate routing habit</w:t>
            </w:r>
          </w:p>
        </w:tc>
        <w:tc>
          <w:tcPr>
            <w:tcW w:type="dxa" w:w="374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Caller opens with “pro shop” or “operator”; the AI confirms and transfers without learning the task.</w:t>
            </w:r>
          </w:p>
        </w:tc>
        <w:tc>
          <w:tcPr>
            <w:tcW w:type="dxa" w:w="387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Introduce the one-question soft gate; honor a repeated transfer request.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Cancellation refusal</w:t>
            </w:r>
          </w:p>
        </w:tc>
        <w:tc>
          <w:tcPr>
            <w:tcW w:type="dxa" w:w="374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Caller asks to cancel; the AI says it cannot process cancellations and routes to the golf shop.</w:t>
            </w:r>
          </w:p>
        </w:tc>
        <w:tc>
          <w:tcPr>
            <w:tcW w:type="dxa" w:w="387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Verify the already-announced cancellation capability and eliminate stale refusal paths.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Confirmation / modification gap</w:t>
            </w:r>
          </w:p>
        </w:tc>
        <w:tc>
          <w:tcPr>
            <w:tcW w:type="dxa" w:w="374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Caller asks to confirm, add/remove a player, or change a time; the AI routes rather than servicing the reservation.</w:t>
            </w:r>
          </w:p>
        </w:tc>
        <w:tc>
          <w:tcPr>
            <w:tcW w:type="dxa" w:w="387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Add or restore authenticated lookup and mutation flows with explicit fallback reasons.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Exact-price handoff</w:t>
            </w:r>
          </w:p>
        </w:tc>
        <w:tc>
          <w:tcPr>
            <w:tcW w:type="dxa" w:w="374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AI finds an available time but cannot state the exact fee, so it offers the golf shop.</w:t>
            </w:r>
          </w:p>
        </w:tc>
        <w:tc>
          <w:tcPr>
            <w:tcW w:type="dxa" w:w="387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Expose the booked-time rate in the same availability response.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Identity capture frustration</w:t>
            </w:r>
          </w:p>
        </w:tc>
        <w:tc>
          <w:tcPr>
            <w:tcW w:type="dxa" w:w="374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A booking advances to spelling a name/email; repeated correction or phonetic requests lead the caller to ask for a person.</w:t>
            </w:r>
          </w:p>
        </w:tc>
        <w:tc>
          <w:tcPr>
            <w:tcW w:type="dxa" w:w="387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Use profile/ANI, natural confirmation, and SMS correction.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Current-operations uncertainty</w:t>
            </w:r>
          </w:p>
        </w:tc>
        <w:tc>
          <w:tcPr>
            <w:tcW w:type="dxa" w:w="374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The AI knows normal range hours but transfers for a Monday or same-day exception.</w:t>
            </w:r>
          </w:p>
        </w:tc>
        <w:tc>
          <w:tcPr>
            <w:tcW w:type="dxa" w:w="387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Publish a time-stamped daily operations feed.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Lost and found</w:t>
            </w:r>
          </w:p>
        </w:tc>
        <w:tc>
          <w:tcPr>
            <w:tcW w:type="dxa" w:w="374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The assistant has no record/workflow and transfers every inquiry.</w:t>
            </w:r>
          </w:p>
        </w:tc>
        <w:tc>
          <w:tcPr>
            <w:tcW w:type="dxa" w:w="387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Create structured intake and asynchronous staff notification.</w:t>
            </w:r>
          </w:p>
        </w:tc>
      </w:tr>
    </w:tbl>
    <w:p>
      <w:pPr>
        <w:spacing w:after="20"/>
      </w:pPr>
    </w:p>
    <w:p>
      <w:r>
        <w:rPr>
          <w:rFonts w:ascii="Arial" w:hAnsi="Arial"/>
          <w:i/>
          <w:color w:val="63706A"/>
          <w:sz w:val="17"/>
        </w:rPr>
        <w:t>Examples are paraphrased from reviewed transcripts and exclude caller names, phone numbers, and email addresses.</w:t>
      </w:r>
    </w:p>
    <w:p>
      <w:r>
        <w:br w:type="page"/>
      </w:r>
    </w:p>
    <w:p>
      <w:pPr>
        <w:pStyle w:val="Heading1"/>
      </w:pPr>
      <w:r>
        <w:t>7. Recommended joint action plan</w:t>
      </w:r>
    </w:p>
    <w:p>
      <w:pPr>
        <w:pStyle w:val="Heading2"/>
      </w:pPr>
      <w:r>
        <w:t>First 14 days - stabilize and prove the basics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15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SpeakSport</w:t>
            </w:r>
          </w:p>
        </w:tc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Audit cancellation and confirmation production paths; publish failure-reason logging.</w:t>
            </w:r>
          </w:p>
        </w:tc>
        <w:tc>
          <w:tcPr>
            <w:tcW w:type="dxa" w:w="35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Owner assigned; regression suite passes; no stale “cannot cancel” prompt when eligible.</w:t>
            </w:r>
          </w:p>
        </w:tc>
      </w:tr>
      <w:tr>
        <w:tc>
          <w:tcPr>
            <w:tcW w:type="dxa" w:w="15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SpeakSport</w:t>
            </w:r>
          </w:p>
        </w:tc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Deploy the one-question soft gate for immediate golf-shop requests with instant opt-out.</w:t>
            </w:r>
          </w:p>
        </w:tc>
        <w:tc>
          <w:tcPr>
            <w:tcW w:type="dxa" w:w="35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Rescue acceptance and repeat-transfer rates visible by day.</w:t>
            </w:r>
          </w:p>
        </w:tc>
      </w:tr>
      <w:tr>
        <w:tc>
          <w:tcPr>
            <w:tcW w:type="dxa" w:w="15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SpeakSport</w:t>
            </w:r>
          </w:p>
        </w:tc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Remove phonetic-email requirement and stray filler/system utterances.</w:t>
            </w:r>
          </w:p>
        </w:tc>
        <w:tc>
          <w:tcPr>
            <w:tcW w:type="dxa" w:w="35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Lower transfer/drop-off after identity capture.</w:t>
            </w:r>
          </w:p>
        </w:tc>
      </w:tr>
      <w:tr>
        <w:tc>
          <w:tcPr>
            <w:tcW w:type="dxa" w:w="15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San Juan Oaks</w:t>
            </w:r>
          </w:p>
        </w:tc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Provide the high-priority knowledge pack and named routing owners.</w:t>
            </w:r>
          </w:p>
        </w:tc>
        <w:tc>
          <w:tcPr>
            <w:tcW w:type="dxa" w:w="35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All P0 knowledge items have owner, effective date, and review cadence.</w:t>
            </w:r>
          </w:p>
        </w:tc>
      </w:tr>
      <w:tr>
        <w:tc>
          <w:tcPr>
            <w:tcW w:type="dxa" w:w="15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Joint</w:t>
            </w:r>
          </w:p>
        </w:tc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Review 30 transferred calls after changes, using the taxonomy in this report.</w:t>
            </w:r>
          </w:p>
        </w:tc>
        <w:tc>
          <w:tcPr>
            <w:tcW w:type="dxa" w:w="35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Shared avoidable/appropriate labels; disputed calls resolved.</w:t>
            </w:r>
          </w:p>
        </w:tc>
      </w:tr>
    </w:tbl>
    <w:p>
      <w:pPr>
        <w:spacing w:after="20"/>
      </w:pPr>
    </w:p>
    <w:p>
      <w:pPr>
        <w:pStyle w:val="Heading2"/>
      </w:pPr>
      <w:r>
        <w:t>Days 15-45 - expand self-service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Enable exact tee-time pricing, booking modification, and richer reservation confirmation.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Launch lost-and-found structured intake and group-booking intake with asynchronous routing.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Add a daily operations feed for range hours, maintenance, course status, and temporary exceptions.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Create transfer analytics by destination, initiating party, caller intent, fallback reason, and successful human connection.</w:t>
      </w:r>
    </w:p>
    <w:p>
      <w:pPr>
        <w:pStyle w:val="Heading2"/>
      </w:pPr>
      <w:r>
        <w:t>Days 46-90 - optimize and govern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Run controlled prompt experiments on the soft gate and booking recovery language.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Set a monthly knowledge review with named San Juan Oaks owners and expiry alerts.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Expand self-service only where the human workflow is stable, safe, and auditable; preserve direct transfer for emergencies, named staff, and specialist judgment.</w:t>
      </w:r>
    </w:p>
    <w:p>
      <w:r>
        <w:br w:type="page"/>
      </w:r>
    </w:p>
    <w:p>
      <w:pPr>
        <w:pStyle w:val="Heading1"/>
      </w:pPr>
      <w:r>
        <w:t>8. San Juan Oaks knowledge and workflow pack</w:t>
      </w:r>
    </w:p>
    <w:p>
      <w:r>
        <w:rPr>
          <w:rFonts w:ascii="Arial" w:hAnsi="Arial"/>
          <w:i w:val="0"/>
          <w:color w:val="17221D"/>
          <w:sz w:val="20"/>
        </w:rPr>
        <w:t>The course can materially improve containment by supplying a small, governed set of information. Each item should include an owner, “last updated” date, and expiry/review cadence.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900"/>
        <w:gridCol w:w="17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Knowledge domain</w:t>
            </w:r>
          </w:p>
        </w:tc>
        <w:tc>
          <w:tcPr>
            <w:tcW w:type="dxa" w:w="5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Required content</w:t>
            </w:r>
          </w:p>
        </w:tc>
        <w:tc>
          <w:tcPr>
            <w:tcW w:type="dxa" w:w="1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Daily operations</w:t>
            </w:r>
          </w:p>
        </w:tc>
        <w:tc>
          <w:tcPr>
            <w:tcW w:type="dxa" w:w="5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Range opening/closing by day; Monday maintenance cutoff; frost/cart-path status; course closures; aeration/punching schedule; twilight start definition.</w:t>
            </w:r>
          </w:p>
        </w:tc>
        <w:tc>
          <w:tcPr>
            <w:tcW w:type="dxa" w:w="17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Daily or event-driven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Pricing</w:t>
            </w:r>
          </w:p>
        </w:tc>
        <w:tc>
          <w:tcPr>
            <w:tcW w:type="dxa" w:w="5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Exact rate source; replay specials; NCGA/youth/ride-along policies; spectator/cart fees; range access; club rental; promotions and expiry.</w:t>
            </w:r>
          </w:p>
        </w:tc>
        <w:tc>
          <w:tcPr>
            <w:tcW w:type="dxa" w:w="17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Live feed or weekly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Booking policy</w:t>
            </w:r>
          </w:p>
        </w:tc>
        <w:tc>
          <w:tcPr>
            <w:tcW w:type="dxa" w:w="5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Booking window; single-player rules; group threshold; multiple tee times; cancellation/change windows; no-show policy; late-arrival process.</w:t>
            </w:r>
          </w:p>
        </w:tc>
        <w:tc>
          <w:tcPr>
            <w:tcW w:type="dxa" w:w="17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Monthly / on change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Facilities</w:t>
            </w:r>
          </w:p>
        </w:tc>
        <w:tc>
          <w:tcPr>
            <w:tcW w:type="dxa" w:w="5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Dress code; practice facilities; showers/locker rooms; accessibility; GPS/cart assistance; course amenities and hours.</w:t>
            </w:r>
          </w:p>
        </w:tc>
        <w:tc>
          <w:tcPr>
            <w:tcW w:type="dxa" w:w="17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Quarterly / on change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Retail/admin</w:t>
            </w:r>
          </w:p>
        </w:tc>
        <w:tc>
          <w:tcPr>
            <w:tcW w:type="dxa" w:w="5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Gift card purchase and balance; merchandise; club fitting; receipts/refunds; membership contacts; donation/sponsorship/vendor requests.</w:t>
            </w:r>
          </w:p>
        </w:tc>
        <w:tc>
          <w:tcPr>
            <w:tcW w:type="dxa" w:w="17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Monthly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Dining/events</w:t>
            </w:r>
          </w:p>
        </w:tc>
        <w:tc>
          <w:tcPr>
            <w:tcW w:type="dxa" w:w="5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Restaurant hours, menus and ordering routes; reservation platforms; patio/corkage policies; live music; banquets, weddings and tournaments.</w:t>
            </w:r>
          </w:p>
        </w:tc>
        <w:tc>
          <w:tcPr>
            <w:tcW w:type="dxa" w:w="17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Weekly / event-driven</w:t>
            </w:r>
          </w:p>
        </w:tc>
      </w:tr>
      <w:tr>
        <w:tc>
          <w:tcPr>
            <w:tcW w:type="dxa" w:w="17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Lost and found</w:t>
            </w:r>
          </w:p>
        </w:tc>
        <w:tc>
          <w:tcPr>
            <w:tcW w:type="dxa" w:w="59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Who owns it; intake fields; response SLA; urgent vs non-urgent; where recovered items are stored; caller update method.</w:t>
            </w:r>
          </w:p>
        </w:tc>
        <w:tc>
          <w:tcPr>
            <w:tcW w:type="dxa" w:w="17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Quarterly / on change</w:t>
            </w:r>
          </w:p>
        </w:tc>
      </w:tr>
      <w:tr>
        <w:tc>
          <w:tcPr>
            <w:tcW w:type="dxa" w:w="17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Routing map</w:t>
            </w:r>
          </w:p>
        </w:tc>
        <w:tc>
          <w:tcPr>
            <w:tcW w:type="dxa" w:w="59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Named staff/roles, extensions, hours, overflow destination, voicemail behavior, and which intents must bypass AI.</w:t>
            </w:r>
          </w:p>
        </w:tc>
        <w:tc>
          <w:tcPr>
            <w:tcW w:type="dxa" w:w="17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Monthly / staffing change</w:t>
            </w:r>
          </w:p>
        </w:tc>
      </w:tr>
    </w:tbl>
    <w:p>
      <w:pPr>
        <w:spacing w:after="20"/>
      </w:pPr>
    </w:p>
    <w:p>
      <w:pPr>
        <w:pStyle w:val="LeadCallout"/>
      </w:pPr>
      <w:r>
        <w:rPr>
          <w:rFonts w:ascii="Arial" w:hAnsi="Arial"/>
          <w:b/>
          <w:color w:val="17221D"/>
        </w:rPr>
        <w:t xml:space="preserve">Recommended operating rule: </w:t>
      </w:r>
      <w:r>
        <w:rPr>
          <w:rFonts w:ascii="Arial" w:hAnsi="Arial"/>
          <w:i w:val="0"/>
          <w:color w:val="17221D"/>
        </w:rPr>
        <w:t>when information is volatile, the AI should state when it was last updated. If data is stale or unavailable, it should offer a structured callback/request before defaulting to a synchronous transfer.</w:t>
      </w:r>
    </w:p>
    <w:p>
      <w:r>
        <w:br w:type="page"/>
      </w:r>
    </w:p>
    <w:p>
      <w:pPr>
        <w:pStyle w:val="Heading1"/>
      </w:pPr>
      <w:r>
        <w:t>9. Reduction scenarios and measurement plan</w:t>
      </w:r>
    </w:p>
    <w:p>
      <w:r>
        <w:rPr>
          <w:rFonts w:ascii="Arial" w:hAnsi="Arial"/>
          <w:i w:val="0"/>
          <w:color w:val="17221D"/>
          <w:sz w:val="20"/>
        </w:rPr>
        <w:t>The scenarios below are planning models, not forecasts. They apply different “capture rates” to the observed golf-shop opportunity levers while leaving the 15 transfers judged appropriate for specialist routing unchanged.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200"/>
        <w:gridCol w:w="1500"/>
        <w:gridCol w:w="1050"/>
        <w:gridCol w:w="1050"/>
        <w:gridCol w:w="12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Assumed capture by lever</w:t>
            </w:r>
          </w:p>
        </w:tc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Fewer golf-shop transfers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Remaining calls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Rate / all calls</w:t>
            </w:r>
          </w:p>
        </w:tc>
        <w:tc>
          <w:tcPr>
            <w:tcW w:type="dxa" w:w="1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Relative reduction</w:t>
            </w:r>
          </w:p>
        </w:tc>
      </w:tr>
      <w:tr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Current baseline</w:t>
            </w:r>
          </w:p>
        </w:tc>
        <w:tc>
          <w:tcPr>
            <w:tcW w:type="dxa" w:w="32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-</w:t>
            </w:r>
          </w:p>
        </w:tc>
        <w:tc>
          <w:tcPr>
            <w:tcW w:type="dxa" w:w="15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0</w:t>
            </w:r>
          </w:p>
        </w:tc>
        <w:tc>
          <w:tcPr>
            <w:tcW w:type="dxa" w:w="10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267</w:t>
            </w:r>
          </w:p>
        </w:tc>
        <w:tc>
          <w:tcPr>
            <w:tcW w:type="dxa" w:w="10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51.1%</w:t>
            </w:r>
          </w:p>
        </w:tc>
        <w:tc>
          <w:tcPr>
            <w:tcW w:type="dxa" w:w="12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-</w:t>
            </w:r>
          </w:p>
        </w:tc>
      </w:tr>
      <w:tr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Conservative</w:t>
            </w:r>
          </w:p>
        </w:tc>
        <w:tc>
          <w:tcPr>
            <w:tcW w:type="dxa" w:w="32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Adoption 10%; product 35%; UX 35%; knowledge 50%</w:t>
            </w:r>
          </w:p>
        </w:tc>
        <w:tc>
          <w:tcPr>
            <w:tcW w:type="dxa" w:w="15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59</w:t>
            </w:r>
          </w:p>
        </w:tc>
        <w:tc>
          <w:tcPr>
            <w:tcW w:type="dxa" w:w="10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208</w:t>
            </w:r>
          </w:p>
        </w:tc>
        <w:tc>
          <w:tcPr>
            <w:tcW w:type="dxa" w:w="10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39.8%</w:t>
            </w:r>
          </w:p>
        </w:tc>
        <w:tc>
          <w:tcPr>
            <w:tcW w:type="dxa" w:w="12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22%</w:t>
            </w:r>
          </w:p>
        </w:tc>
      </w:tr>
      <w:tr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Target</w:t>
            </w:r>
          </w:p>
        </w:tc>
        <w:tc>
          <w:tcPr>
            <w:tcW w:type="dxa" w:w="32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Adoption 20%; product 60%; UX 60%; knowledge 75%</w:t>
            </w:r>
          </w:p>
        </w:tc>
        <w:tc>
          <w:tcPr>
            <w:tcW w:type="dxa" w:w="15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102</w:t>
            </w:r>
          </w:p>
        </w:tc>
        <w:tc>
          <w:tcPr>
            <w:tcW w:type="dxa" w:w="10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165</w:t>
            </w:r>
          </w:p>
        </w:tc>
        <w:tc>
          <w:tcPr>
            <w:tcW w:type="dxa" w:w="10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31.5%</w:t>
            </w:r>
          </w:p>
        </w:tc>
        <w:tc>
          <w:tcPr>
            <w:tcW w:type="dxa" w:w="126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38%</w:t>
            </w:r>
          </w:p>
        </w:tc>
      </w:tr>
      <w:tr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Stretch</w:t>
            </w:r>
          </w:p>
        </w:tc>
        <w:tc>
          <w:tcPr>
            <w:tcW w:type="dxa" w:w="32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Adoption 30%; product 80%; UX 75%; knowledge 90%</w:t>
            </w:r>
          </w:p>
        </w:tc>
        <w:tc>
          <w:tcPr>
            <w:tcW w:type="dxa" w:w="15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137</w:t>
            </w:r>
          </w:p>
        </w:tc>
        <w:tc>
          <w:tcPr>
            <w:tcW w:type="dxa" w:w="10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130</w:t>
            </w:r>
          </w:p>
        </w:tc>
        <w:tc>
          <w:tcPr>
            <w:tcW w:type="dxa" w:w="10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24.9%</w:t>
            </w:r>
          </w:p>
        </w:tc>
        <w:tc>
          <w:tcPr>
            <w:tcW w:type="dxa" w:w="126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51%</w:t>
            </w:r>
          </w:p>
        </w:tc>
      </w:tr>
    </w:tbl>
    <w:p>
      <w:pPr>
        <w:spacing w:after="20"/>
      </w:pPr>
    </w:p>
    <w:p>
      <w:pPr>
        <w:pStyle w:val="LeadCallout"/>
      </w:pPr>
      <w:r>
        <w:rPr>
          <w:rFonts w:ascii="Arial" w:hAnsi="Arial"/>
          <w:i w:val="0"/>
          <w:color w:val="17221D"/>
        </w:rPr>
        <w:t>A sensible near-term operating target is below 40 golf-shop transfers per 100 calls, followed by a 60-90 day target around 32 per 100 calls if capability and data work land successfully.</w:t>
      </w:r>
    </w:p>
    <w:p>
      <w:pPr>
        <w:pStyle w:val="Heading2"/>
      </w:pPr>
      <w:r>
        <w:t>Weekly scorecard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1650"/>
        <w:gridCol w:w="19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Target / use</w:t>
            </w:r>
          </w:p>
        </w:tc>
      </w:tr>
      <w:tr>
        <w:tc>
          <w:tcPr>
            <w:tcW w:type="dxa" w:w="21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Golf-shop transfer rate</w:t>
            </w:r>
          </w:p>
        </w:tc>
        <w:tc>
          <w:tcPr>
            <w:tcW w:type="dxa" w:w="3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Golf-shop forwards / all calls</w:t>
            </w:r>
          </w:p>
        </w:tc>
        <w:tc>
          <w:tcPr>
            <w:tcW w:type="dxa" w:w="16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51.1%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&lt;40% first; ~32% target</w:t>
            </w:r>
          </w:p>
        </w:tc>
      </w:tr>
      <w:tr>
        <w:tc>
          <w:tcPr>
            <w:tcW w:type="dxa" w:w="21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Overall forward rate</w:t>
            </w:r>
          </w:p>
        </w:tc>
        <w:tc>
          <w:tcPr>
            <w:tcW w:type="dxa" w:w="3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All forwards / all calls</w:t>
            </w:r>
          </w:p>
        </w:tc>
        <w:tc>
          <w:tcPr>
            <w:tcW w:type="dxa" w:w="16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69.0%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Context only; destination matters</w:t>
            </w:r>
          </w:p>
        </w:tc>
      </w:tr>
      <w:tr>
        <w:tc>
          <w:tcPr>
            <w:tcW w:type="dxa" w:w="21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Immediate human-request rate</w:t>
            </w:r>
          </w:p>
        </w:tc>
        <w:tc>
          <w:tcPr>
            <w:tcW w:type="dxa" w:w="3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Immediate caller-led golf-shop forwards / all calls</w:t>
            </w:r>
          </w:p>
        </w:tc>
        <w:tc>
          <w:tcPr>
            <w:tcW w:type="dxa" w:w="16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29.3%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Track; improve rescue acceptance</w:t>
            </w:r>
          </w:p>
        </w:tc>
      </w:tr>
      <w:tr>
        <w:tc>
          <w:tcPr>
            <w:tcW w:type="dxa" w:w="21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AI-initiated golf-shop rate</w:t>
            </w:r>
          </w:p>
        </w:tc>
        <w:tc>
          <w:tcPr>
            <w:tcW w:type="dxa" w:w="3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AI-led golf-shop forwards / all calls</w:t>
            </w:r>
          </w:p>
        </w:tc>
        <w:tc>
          <w:tcPr>
            <w:tcW w:type="dxa" w:w="16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19.7%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Primary product/knowledge signal</w:t>
            </w:r>
          </w:p>
        </w:tc>
      </w:tr>
      <w:tr>
        <w:tc>
          <w:tcPr>
            <w:tcW w:type="dxa" w:w="21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Servicing fallback rate</w:t>
            </w:r>
          </w:p>
        </w:tc>
        <w:tc>
          <w:tcPr>
            <w:tcW w:type="dxa" w:w="3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Cancel/modify/confirm forwards / relevant servicing requests</w:t>
            </w:r>
          </w:p>
        </w:tc>
        <w:tc>
          <w:tcPr>
            <w:tcW w:type="dxa" w:w="16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Not derivable from export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Instrument denominator and reason</w:t>
            </w:r>
          </w:p>
        </w:tc>
      </w:tr>
      <w:tr>
        <w:tc>
          <w:tcPr>
            <w:tcW w:type="dxa" w:w="21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Rescue acceptance</w:t>
            </w:r>
          </w:p>
        </w:tc>
        <w:tc>
          <w:tcPr>
            <w:tcW w:type="dxa" w:w="37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Immediate human requests resolved after one soft gate / eligible requests</w:t>
            </w:r>
          </w:p>
        </w:tc>
        <w:tc>
          <w:tcPr>
            <w:tcW w:type="dxa" w:w="16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Not instrumented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10%-20% initial target</w:t>
            </w:r>
          </w:p>
        </w:tc>
      </w:tr>
      <w:tr>
        <w:tc>
          <w:tcPr>
            <w:tcW w:type="dxa" w:w="21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Transfer connection success</w:t>
            </w:r>
          </w:p>
        </w:tc>
        <w:tc>
          <w:tcPr>
            <w:tcW w:type="dxa" w:w="37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Transfers answered / attempted</w:t>
            </w:r>
          </w:p>
        </w:tc>
        <w:tc>
          <w:tcPr>
            <w:tcW w:type="dxa" w:w="16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Not in export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6"/>
              </w:rPr>
              <w:t>Instrument by destination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 - methodology and caveats</w:t>
      </w:r>
    </w:p>
    <w:p>
      <w:pPr>
        <w:pStyle w:val="Heading2"/>
      </w:pPr>
      <w:r>
        <w:t>Data and classification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Source file: calls-2026-07-21-to-2026-08-04.csv, containing 523 calls and transcript text.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A transfer is defined strictly as ended_reason = assistant-forwarded-call. Destination is inferred from the final transfer statement in the transcript.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Each forwarded call was reviewed using caller utterances and transfer context, then assigned one primary initiation type, intent, destination, and reduction lever. Categories are mutually exclusive for counting, even when a call contained more than one topic.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The 4 August data is partial. Week-over-week comparison uses 21-27 July and 28 July-3 August only.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Speech-to-text errors are visible (for example “tea time,” “key time,” or “Photoshop” for tee time/pro shop). Classification uses context, but isolated ambiguous calls remain possible.</w:t>
      </w:r>
    </w:p>
    <w:p>
      <w:pPr>
        <w:pStyle w:val="ListBullet"/>
        <w:ind w:left="720"/>
      </w:pPr>
      <w:r>
        <w:rPr>
          <w:rFonts w:ascii="Arial" w:hAnsi="Arial"/>
          <w:color w:val="17221D"/>
          <w:sz w:val="20"/>
        </w:rPr>
        <w:t>A call not marked forwarded may still be abandoned or unresolved. Resolution/containment should be measured separately once explicit outcome data is available.</w:t>
      </w:r>
    </w:p>
    <w:p>
      <w:pPr>
        <w:pStyle w:val="Heading2"/>
      </w:pPr>
      <w:r>
        <w:t>All forwarded calls by primary intent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300"/>
        <w:gridCol w:w="1850"/>
        <w:gridCol w:w="1910"/>
      </w:tblGrid>
      <w:tr>
        <w:trPr>
          <w:tblHeader w:val="true"/>
        </w:trPr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Primary intent</w:t>
            </w:r>
          </w:p>
        </w:tc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Calls</w:t>
            </w:r>
          </w:p>
        </w:tc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% of forwards</w:t>
            </w:r>
          </w:p>
        </w:tc>
        <w:tc>
          <w:tcPr>
            <w:tcW w:type="dxa" w:w="1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008F45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% of all calls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Immediate/unspecified routing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125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34.6%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23.9%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Dining/food service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68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18.8%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13.0%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New tee time/availability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33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9.1%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6.3%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Booking modification/confirmation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32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8.9%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6.1%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Cancellation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25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6.9%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4.8%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Membership/billing/retail/admin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17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4.7%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3.3%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Group/multiple tee times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13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3.6%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2.5%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Lost and found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13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3.6%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2.5%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Course/current conditions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12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3.3%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2.3%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Rates/promotions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10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2.8%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1.9%</w:t>
            </w:r>
          </w:p>
        </w:tc>
      </w:tr>
      <w:tr>
        <w:tc>
          <w:tcPr>
            <w:tcW w:type="dxa" w:w="4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Events/tournaments</w:t>
            </w:r>
          </w:p>
        </w:tc>
        <w:tc>
          <w:tcPr>
            <w:tcW w:type="dxa" w:w="130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10</w:t>
            </w:r>
          </w:p>
        </w:tc>
        <w:tc>
          <w:tcPr>
            <w:tcW w:type="dxa" w:w="185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2.8%</w:t>
            </w:r>
          </w:p>
        </w:tc>
        <w:tc>
          <w:tcPr>
            <w:tcW w:type="dxa" w:w="1910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1.9%</w:t>
            </w:r>
          </w:p>
        </w:tc>
      </w:tr>
      <w:tr>
        <w:tc>
          <w:tcPr>
            <w:tcW w:type="dxa" w:w="4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Lessons/other</w:t>
            </w:r>
          </w:p>
        </w:tc>
        <w:tc>
          <w:tcPr>
            <w:tcW w:type="dxa" w:w="130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3</w:t>
            </w:r>
          </w:p>
        </w:tc>
        <w:tc>
          <w:tcPr>
            <w:tcW w:type="dxa" w:w="185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0.8%</w:t>
            </w:r>
          </w:p>
        </w:tc>
        <w:tc>
          <w:tcPr>
            <w:tcW w:type="dxa" w:w="1910"/>
            <w:shd w:fill="F7F9F8"/>
            <w:tcBorders>
              <w:top w:val="single" w:sz="6" w:color="D9E0DC"/>
              <w:left w:val="single" w:sz="6" w:color="D9E0DC"/>
              <w:bottom w:val="single" w:sz="6" w:color="D9E0DC"/>
              <w:right w:val="single" w:sz="6" w:color="D9E0DC"/>
              <w:insideH w:val="single" w:sz="6" w:color="D9E0DC"/>
              <w:insideV w:val="single" w:sz="6" w:color="D9E0DC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7221D"/>
                <w:sz w:val="17"/>
              </w:rPr>
              <w:t>0.6%</w:t>
            </w:r>
          </w:p>
        </w:tc>
      </w:tr>
    </w:tbl>
    <w:p>
      <w:pPr>
        <w:spacing w:after="20"/>
      </w:pPr>
    </w:p>
    <w:p>
      <w:pPr>
        <w:pStyle w:val="Heading2"/>
      </w:pPr>
      <w:r>
        <w:t>Sources</w:t>
      </w:r>
    </w:p>
    <w:p>
      <w:r>
        <w:rPr>
          <w:rFonts w:ascii="Arial" w:hAnsi="Arial"/>
          <w:i w:val="0"/>
          <w:color w:val="63706A"/>
          <w:sz w:val="17"/>
        </w:rPr>
        <w:t>1. SpeakSport call export for San Juan Oaks, 21 July-4 August 2026 (523 calls).</w:t>
        <w:br/>
        <w:t>2. SpeakSport Customer Performance Update - San Juan Oaks, prepared 31 July 2026.</w:t>
        <w:br/>
        <w:t>3. SpeakSport logo supplied 4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" w:hAnsi="Arial"/>
        <w:color w:val="63706A"/>
        <w:sz w:val="16"/>
      </w:rPr>
      <w:t xml:space="preserve">SpeakSport · San Juan Oaks transfer reduction diagnostic · 4 August 2026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572768" cy="356494"/>
          <wp:docPr id="1" name="Picture 1" descr="SpeakSport logo" title="SpeakSport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peakspor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2768" cy="35649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722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B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8F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6B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6B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63706A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00" w:after="160" w:line="269" w:lineRule="auto"/>
      <w:ind w:left="216" w:right="216"/>
      <w:shd w:fill="E5F4EC"/>
      <w:pBdr>
        <w:left w:val="single" w:sz="22" w:color="008F45"/>
      </w:pBdr>
    </w:pPr>
    <w:rPr>
      <w:rFonts w:ascii="Arial" w:hAnsi="Arial"/>
      <w:color w:val="006B3F"/>
      <w:sz w:val="21"/>
    </w:rPr>
  </w:style>
  <w:style w:type="paragraph" w:customStyle="1" w:styleId="NoteCallout">
    <w:name w:val="Note Callout"/>
    <w:pPr>
      <w:spacing w:before="100" w:after="160" w:line="269" w:lineRule="auto"/>
      <w:ind w:left="216" w:right="216"/>
      <w:shd w:fill="F3F7F5"/>
      <w:pBdr>
        <w:left w:val="single" w:sz="22" w:color="008F45"/>
      </w:pBdr>
    </w:pPr>
    <w:rPr>
      <w:rFonts w:ascii="Arial" w:hAnsi="Arial"/>
      <w:color w:val="17221D"/>
      <w:sz w:val="21"/>
    </w:rPr>
  </w:style>
  <w:style w:type="paragraph" w:customStyle="1" w:styleId="RiskCallout">
    <w:name w:val="Risk Callout"/>
    <w:pPr>
      <w:spacing w:before="100" w:after="160" w:line="269" w:lineRule="auto"/>
      <w:ind w:left="216" w:right="216"/>
      <w:shd w:fill="FFF5DF"/>
      <w:pBdr>
        <w:left w:val="single" w:sz="22" w:color="A97818"/>
      </w:pBdr>
    </w:pPr>
    <w:rPr>
      <w:rFonts w:ascii="Arial" w:hAnsi="Arial"/>
      <w:color w:val="A9781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Juan Oaks Transfer Reduction Diagnostic</dc:title>
  <dc:subject>Quantitative and qualitative analysis of call transfers</dc:subject>
  <dc:creator>SpeakSport</dc:creator>
  <cp:keywords>SpeakSport, San Juan Oaks, transfers, AI receptionist, golf shop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