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300"/>
        <w:jc w:val="center"/>
      </w:pPr>
      <w:r>
        <w:rPr>
          <w:rFonts w:ascii="Calibri" w:cs="Calibri" w:eastAsia="Calibri" w:hAnsi="Calibri"/>
          <w:b/>
          <w:bCs/>
          <w:color w:val="1E3A8A"/>
          <w:sz w:val="48"/>
          <w:szCs w:val="48"/>
        </w:rPr>
        <w:t xml:space="preserve">TRANSPORTMS (TMS)</w:t>
      </w:r>
    </w:p>
    <w:p>
      <w:pPr>
        <w:spacing w:after="180" w:before="0"/>
        <w:jc w:val="center"/>
      </w:pPr>
      <w:r>
        <w:rPr>
          <w:rFonts w:ascii="Calibri" w:cs="Calibri" w:eastAsia="Calibri" w:hAnsi="Calibri"/>
          <w:i/>
          <w:iCs/>
          <w:color w:val="64748B"/>
          <w:sz w:val="26"/>
          <w:szCs w:val="26"/>
        </w:rPr>
        <w:t xml:space="preserve">Next-Gen Logistics, Fleet Telematics &amp; Financial ERP System</w:t>
      </w:r>
    </w:p>
    <w:p>
      <w:pPr>
        <w:spacing w:after="400" w:before="0"/>
        <w:jc w:val="center"/>
      </w:pPr>
      <w:r>
        <w:rPr>
          <w:rFonts w:ascii="Calibri" w:cs="Calibri" w:eastAsia="Calibri" w:hAnsi="Calibri"/>
          <w:b/>
          <w:bCs/>
          <w:color w:val="0F766E"/>
          <w:sz w:val="22"/>
          <w:szCs w:val="22"/>
        </w:rPr>
        <w:t xml:space="preserve">Comprehensive System Specifications, Operational Architecture &amp; Module Reference</w:t>
      </w:r>
    </w:p>
    <w:p>
      <w:pPr>
        <w:pStyle w:val="Heading1"/>
        <w:spacing w:after="140" w:before="360"/>
      </w:pPr>
      <w:r>
        <w:rPr>
          <w:rFonts w:ascii="Calibri" w:cs="Calibri" w:eastAsia="Calibri" w:hAnsi="Calibri"/>
          <w:b/>
          <w:bCs/>
          <w:color w:val="1E3A8A"/>
          <w:sz w:val="30"/>
          <w:szCs w:val="30"/>
        </w:rPr>
        <w:t xml:space="preserve">1. Executive Summary</w:t>
      </w:r>
    </w:p>
    <w:p>
      <w:pPr>
        <w:spacing w:after="120" w:before="80"/>
      </w:pPr>
      <w:r>
        <w:rPr>
          <w:rFonts w:ascii="Calibri" w:cs="Calibri" w:eastAsia="Calibri" w:hAnsi="Calibri"/>
          <w:color w:val="334155"/>
          <w:sz w:val="22"/>
          <w:szCs w:val="22"/>
        </w:rPr>
        <w:t xml:space="preserve">TransportMS (TMS) is an enterprise-grade cloud transportation management software designed to streamline complete logistics operations from order placement to cash collection. It unifies operations, fleet maintenance, driver workforce, telematics, freight accounting, and statutory compliance into a single cohesive cockpit.</w:t>
      </w:r>
    </w:p>
    <w:p>
      <w:pPr>
        <w:spacing w:after="120" w:before="80"/>
      </w:pPr>
      <w:r>
        <w:rPr>
          <w:rFonts w:ascii="Calibri" w:cs="Calibri" w:eastAsia="Calibri" w:hAnsi="Calibri"/>
          <w:color w:val="334155"/>
          <w:sz w:val="22"/>
          <w:szCs w:val="22"/>
        </w:rPr>
        <w:t xml:space="preserve">By digitizing manual transport processes—such as paper-based Bilty/LR, physical cash advances, unchecked fuel expenditures, and missed document renewals—TransportMS eliminates operational leakages, boosts fleet turnaround speed, and maximizes net profitability per trip.</w:t>
      </w:r>
    </w:p>
    <w:p>
      <w:pPr>
        <w:pStyle w:val="Heading1"/>
        <w:spacing w:after="140" w:before="360"/>
      </w:pPr>
      <w:r>
        <w:rPr>
          <w:rFonts w:ascii="Calibri" w:cs="Calibri" w:eastAsia="Calibri" w:hAnsi="Calibri"/>
          <w:b/>
          <w:bCs/>
          <w:color w:val="1E3A8A"/>
          <w:sz w:val="30"/>
          <w:szCs w:val="30"/>
        </w:rPr>
        <w:t xml:space="preserve">2. Core System Objectives</w:t>
      </w:r>
    </w:p>
    <w:p>
      <w:pPr>
        <w:pStyle w:val="ListParagraph"/>
        <w:numPr>
          <w:ilvl w:val="0"/>
          <w:numId w:val="1"/>
        </w:numPr>
        <w:spacing w:after="60" w:before="60"/>
      </w:pPr>
      <w:r>
        <w:rPr>
          <w:rFonts w:ascii="Calibri" w:cs="Calibri" w:eastAsia="Calibri" w:hAnsi="Calibri"/>
          <w:b/>
          <w:bCs/>
          <w:color w:val="0F172A"/>
          <w:sz w:val="22"/>
          <w:szCs w:val="22"/>
        </w:rPr>
        <w:t xml:space="preserve">Dispatch Velocity: </w:t>
      </w:r>
      <w:r>
        <w:rPr>
          <w:rFonts w:ascii="Calibri" w:cs="Calibri" w:eastAsia="Calibri" w:hAnsi="Calibri"/>
          <w:color w:val="475569"/>
          <w:sz w:val="22"/>
          <w:szCs w:val="22"/>
        </w:rPr>
        <w:t xml:space="preserve">Automate load allocation and reduce truck turn-around dispatch time by up to 65%.</w:t>
      </w:r>
    </w:p>
    <w:p>
      <w:pPr>
        <w:pStyle w:val="ListParagraph"/>
        <w:numPr>
          <w:ilvl w:val="0"/>
          <w:numId w:val="1"/>
        </w:numPr>
        <w:spacing w:after="60" w:before="60"/>
      </w:pPr>
      <w:r>
        <w:rPr>
          <w:rFonts w:ascii="Calibri" w:cs="Calibri" w:eastAsia="Calibri" w:hAnsi="Calibri"/>
          <w:b/>
          <w:bCs/>
          <w:color w:val="0F172A"/>
          <w:sz w:val="22"/>
          <w:szCs w:val="22"/>
        </w:rPr>
        <w:t xml:space="preserve">Fuel &amp; Margin Control: </w:t>
      </w:r>
      <w:r>
        <w:rPr>
          <w:rFonts w:ascii="Calibri" w:cs="Calibri" w:eastAsia="Calibri" w:hAnsi="Calibri"/>
          <w:color w:val="475569"/>
          <w:sz w:val="22"/>
          <w:szCs w:val="22"/>
        </w:rPr>
        <w:t xml:space="preserve">Pinpoint fuel pilferage and anomalies by cross-checking trip GPS kilometers against fuel receipts.</w:t>
      </w:r>
    </w:p>
    <w:p>
      <w:pPr>
        <w:pStyle w:val="ListParagraph"/>
        <w:numPr>
          <w:ilvl w:val="0"/>
          <w:numId w:val="1"/>
        </w:numPr>
        <w:spacing w:after="60" w:before="60"/>
      </w:pPr>
      <w:r>
        <w:rPr>
          <w:rFonts w:ascii="Calibri" w:cs="Calibri" w:eastAsia="Calibri" w:hAnsi="Calibri"/>
          <w:b/>
          <w:bCs/>
          <w:color w:val="0F172A"/>
          <w:sz w:val="22"/>
          <w:szCs w:val="22"/>
        </w:rPr>
        <w:t xml:space="preserve">Statutory Compliance: </w:t>
      </w:r>
      <w:r>
        <w:rPr>
          <w:rFonts w:ascii="Calibri" w:cs="Calibri" w:eastAsia="Calibri" w:hAnsi="Calibri"/>
          <w:color w:val="475569"/>
          <w:sz w:val="22"/>
          <w:szCs w:val="22"/>
        </w:rPr>
        <w:t xml:space="preserve">Eliminate highway penalties through automated 30-day proactive document expiry vaults for RC, Fitness, Insurance, and National Permits.</w:t>
      </w:r>
    </w:p>
    <w:p>
      <w:pPr>
        <w:pStyle w:val="ListParagraph"/>
        <w:numPr>
          <w:ilvl w:val="0"/>
          <w:numId w:val="1"/>
        </w:numPr>
        <w:spacing w:after="60" w:before="60"/>
      </w:pPr>
      <w:r>
        <w:rPr>
          <w:rFonts w:ascii="Calibri" w:cs="Calibri" w:eastAsia="Calibri" w:hAnsi="Calibri"/>
          <w:b/>
          <w:bCs/>
          <w:color w:val="0F172A"/>
          <w:sz w:val="22"/>
          <w:szCs w:val="22"/>
        </w:rPr>
        <w:t xml:space="preserve">Trip Profitability (P&amp;L): </w:t>
      </w:r>
      <w:r>
        <w:rPr>
          <w:rFonts w:ascii="Calibri" w:cs="Calibri" w:eastAsia="Calibri" w:hAnsi="Calibri"/>
          <w:color w:val="475569"/>
          <w:sz w:val="22"/>
          <w:szCs w:val="22"/>
        </w:rPr>
        <w:t xml:space="preserve">Real-time visibility into net margin for every single trip before and after consignment delivery.</w:t>
      </w:r>
    </w:p>
    <w:p>
      <w:pPr>
        <w:pStyle w:val="ListParagraph"/>
        <w:numPr>
          <w:ilvl w:val="0"/>
          <w:numId w:val="1"/>
        </w:numPr>
        <w:spacing w:after="60" w:before="60"/>
      </w:pPr>
      <w:r>
        <w:rPr>
          <w:rFonts w:ascii="Calibri" w:cs="Calibri" w:eastAsia="Calibri" w:hAnsi="Calibri"/>
          <w:b/>
          <w:bCs/>
          <w:color w:val="0F172A"/>
          <w:sz w:val="22"/>
          <w:szCs w:val="22"/>
        </w:rPr>
        <w:t xml:space="preserve">Digital LR &amp; Invoicing: </w:t>
      </w:r>
      <w:r>
        <w:rPr>
          <w:rFonts w:ascii="Calibri" w:cs="Calibri" w:eastAsia="Calibri" w:hAnsi="Calibri"/>
          <w:color w:val="475569"/>
          <w:sz w:val="22"/>
          <w:szCs w:val="22"/>
        </w:rPr>
        <w:t xml:space="preserve">Instant generation of QR-coded Lorry Receipts (Bilty) and rapid customer billing upon Proof of Delivery (POD).</w:t>
      </w:r>
    </w:p>
    <w:p>
      <w:pPr>
        <w:pStyle w:val="Heading1"/>
        <w:spacing w:after="140" w:before="360"/>
      </w:pPr>
      <w:r>
        <w:rPr>
          <w:rFonts w:ascii="Calibri" w:cs="Calibri" w:eastAsia="Calibri" w:hAnsi="Calibri"/>
          <w:b/>
          <w:bCs/>
          <w:color w:val="1E3A8A"/>
          <w:sz w:val="30"/>
          <w:szCs w:val="30"/>
        </w:rPr>
        <w:t xml:space="preserve">3. Technology Architecture &amp; Stack</w:t>
      </w:r>
    </w:p>
    <w:p>
      <w:pPr>
        <w:spacing w:after="120" w:before="80"/>
      </w:pPr>
      <w:r>
        <w:rPr>
          <w:rFonts w:ascii="Calibri" w:cs="Calibri" w:eastAsia="Calibri" w:hAnsi="Calibri"/>
          <w:color w:val="334155"/>
          <w:sz w:val="22"/>
          <w:szCs w:val="22"/>
        </w:rPr>
        <w:t xml:space="preserve">The platform is engineered using modern decoupled enterprise architecture for high throughput, security, and low latency:</w:t>
      </w:r>
    </w:p>
    <w:tbl>
      <w:tblPr>
        <w:tblW w:type="pct" w:w="5000"/>
        <w:tblBorders>
          <w:top w:val="single" w:color="CBD5E1" w:sz="4"/>
          <w:left w:val="single" w:color="CBD5E1" w:sz="4"/>
          <w:bottom w:val="single" w:color="CBD5E1" w:sz="4"/>
          <w:right w:val="single" w:color="CBD5E1" w:sz="4"/>
          <w:insideH w:val="single" w:color="E2E8F0" w:sz="4"/>
          <w:insideV w:val="single" w:color="E2E8F0" w:sz="4"/>
        </w:tblBorders>
      </w:tblPr>
      <w:tblGrid>
        <w:gridCol w:w="2257"/>
        <w:gridCol w:w="3159"/>
        <w:gridCol w:w="3610"/>
      </w:tblGrid>
      <w:tr>
        <w:tc>
          <w:tcPr>
            <w:tcW w:type="pct" w:w="1250"/>
            <w:shd w:fill="0F172A" w:val="clear"/>
            <w:tcMar>
              <w:top w:type="dxa" w:w="120"/>
              <w:left w:type="dxa" w:w="160"/>
              <w:bottom w:type="dxa" w:w="120"/>
              <w:right w:type="dxa" w:w="160"/>
            </w:tcMar>
          </w:tcPr>
          <w:p>
            <w:r>
              <w:rPr>
                <w:rFonts w:ascii="Calibri" w:cs="Calibri" w:eastAsia="Calibri" w:hAnsi="Calibri"/>
                <w:b/>
                <w:bCs/>
                <w:color w:val="FFFFFF"/>
                <w:sz w:val="21"/>
                <w:szCs w:val="21"/>
              </w:rPr>
              <w:t xml:space="preserve">Layer</w:t>
            </w:r>
          </w:p>
        </w:tc>
        <w:tc>
          <w:tcPr>
            <w:tcW w:type="pct" w:w="1750"/>
            <w:shd w:fill="0F172A" w:val="clear"/>
            <w:tcMar>
              <w:top w:type="dxa" w:w="120"/>
              <w:left w:type="dxa" w:w="160"/>
              <w:bottom w:type="dxa" w:w="120"/>
              <w:right w:type="dxa" w:w="160"/>
            </w:tcMar>
          </w:tcPr>
          <w:p>
            <w:r>
              <w:rPr>
                <w:rFonts w:ascii="Calibri" w:cs="Calibri" w:eastAsia="Calibri" w:hAnsi="Calibri"/>
                <w:b/>
                <w:bCs/>
                <w:color w:val="FFFFFF"/>
                <w:sz w:val="21"/>
                <w:szCs w:val="21"/>
              </w:rPr>
              <w:t xml:space="preserve">Technology</w:t>
            </w:r>
          </w:p>
        </w:tc>
        <w:tc>
          <w:tcPr>
            <w:tcW w:type="pct" w:w="2000"/>
            <w:shd w:fill="0F172A" w:val="clear"/>
            <w:tcMar>
              <w:top w:type="dxa" w:w="120"/>
              <w:left w:type="dxa" w:w="160"/>
              <w:bottom w:type="dxa" w:w="120"/>
              <w:right w:type="dxa" w:w="160"/>
            </w:tcMar>
          </w:tcPr>
          <w:p>
            <w:r>
              <w:rPr>
                <w:rFonts w:ascii="Calibri" w:cs="Calibri" w:eastAsia="Calibri" w:hAnsi="Calibri"/>
                <w:b/>
                <w:bCs/>
                <w:color w:val="FFFFFF"/>
                <w:sz w:val="21"/>
                <w:szCs w:val="21"/>
              </w:rPr>
              <w:t xml:space="preserve">Function &amp; Purpose</w:t>
            </w:r>
          </w:p>
        </w:tc>
      </w:tr>
      <w:tr>
        <w:tc>
          <w:tcPr>
            <w:tcW w:type="pct" w:w="1250"/>
            <w:shd w:fill="FFFFFF" w:val="clear"/>
            <w:tcMar>
              <w:top w:type="dxa" w:w="100"/>
              <w:left w:type="dxa" w:w="160"/>
              <w:bottom w:type="dxa" w:w="100"/>
              <w:right w:type="dxa" w:w="160"/>
            </w:tcMar>
          </w:tcPr>
          <w:p>
            <w:r>
              <w:rPr>
                <w:rFonts w:ascii="Calibri" w:cs="Calibri" w:eastAsia="Calibri" w:hAnsi="Calibri"/>
                <w:b/>
                <w:bCs/>
                <w:color w:val="334155"/>
                <w:sz w:val="20"/>
                <w:szCs w:val="20"/>
              </w:rPr>
              <w:t xml:space="preserve">Frontend UI</w:t>
            </w:r>
          </w:p>
        </w:tc>
        <w:tc>
          <w:tcPr>
            <w:tcW w:type="pct" w:w="1750"/>
            <w:shd w:fill="FFFFFF" w:val="clear"/>
            <w:tcMar>
              <w:top w:type="dxa" w:w="100"/>
              <w:left w:type="dxa" w:w="160"/>
              <w:bottom w:type="dxa" w:w="100"/>
              <w:right w:type="dxa" w:w="160"/>
            </w:tcMar>
          </w:tcPr>
          <w:p>
            <w:r>
              <w:rPr>
                <w:rFonts w:ascii="Calibri" w:cs="Calibri" w:eastAsia="Calibri" w:hAnsi="Calibri"/>
                <w:b w:val="false"/>
                <w:bCs w:val="false"/>
                <w:color w:val="334155"/>
                <w:sz w:val="20"/>
                <w:szCs w:val="20"/>
              </w:rPr>
              <w:t xml:space="preserve">React 18, Vite, TailwindCSS / Custom Theme, Lucide Icons</w:t>
            </w:r>
          </w:p>
        </w:tc>
        <w:tc>
          <w:tcPr>
            <w:tcW w:type="pct" w:w="2000"/>
            <w:shd w:fill="FFFFFF" w:val="clear"/>
            <w:tcMar>
              <w:top w:type="dxa" w:w="100"/>
              <w:left w:type="dxa" w:w="160"/>
              <w:bottom w:type="dxa" w:w="100"/>
              <w:right w:type="dxa" w:w="160"/>
            </w:tcMar>
          </w:tcPr>
          <w:p>
            <w:r>
              <w:rPr>
                <w:rFonts w:ascii="Calibri" w:cs="Calibri" w:eastAsia="Calibri" w:hAnsi="Calibri"/>
                <w:b w:val="false"/>
                <w:bCs w:val="false"/>
                <w:color w:val="334155"/>
                <w:sz w:val="20"/>
                <w:szCs w:val="20"/>
              </w:rPr>
              <w:t xml:space="preserve">Ultra-fast, responsive Single Page Application (SPA) with clean light corporate aesthetics.</w:t>
            </w:r>
          </w:p>
        </w:tc>
      </w:tr>
      <w:tr>
        <w:tc>
          <w:tcPr>
            <w:tcW w:type="pct" w:w="1250"/>
            <w:shd w:fill="F8FAFC" w:val="clear"/>
            <w:tcMar>
              <w:top w:type="dxa" w:w="100"/>
              <w:left w:type="dxa" w:w="160"/>
              <w:bottom w:type="dxa" w:w="100"/>
              <w:right w:type="dxa" w:w="160"/>
            </w:tcMar>
          </w:tcPr>
          <w:p>
            <w:r>
              <w:rPr>
                <w:rFonts w:ascii="Calibri" w:cs="Calibri" w:eastAsia="Calibri" w:hAnsi="Calibri"/>
                <w:b/>
                <w:bCs/>
                <w:color w:val="334155"/>
                <w:sz w:val="20"/>
                <w:szCs w:val="20"/>
              </w:rPr>
              <w:t xml:space="preserve">Backend API</w:t>
            </w:r>
          </w:p>
        </w:tc>
        <w:tc>
          <w:tcPr>
            <w:tcW w:type="pct" w:w="1750"/>
            <w:shd w:fill="FFFFFF" w:val="clear"/>
            <w:tcMar>
              <w:top w:type="dxa" w:w="100"/>
              <w:left w:type="dxa" w:w="160"/>
              <w:bottom w:type="dxa" w:w="100"/>
              <w:right w:type="dxa" w:w="160"/>
            </w:tcMar>
          </w:tcPr>
          <w:p>
            <w:r>
              <w:rPr>
                <w:rFonts w:ascii="Calibri" w:cs="Calibri" w:eastAsia="Calibri" w:hAnsi="Calibri"/>
                <w:b w:val="false"/>
                <w:bCs w:val="false"/>
                <w:color w:val="334155"/>
                <w:sz w:val="20"/>
                <w:szCs w:val="20"/>
              </w:rPr>
              <w:t xml:space="preserve">Spring Boot 3.x, Spring Data JPA, Java 17</w:t>
            </w:r>
          </w:p>
        </w:tc>
        <w:tc>
          <w:tcPr>
            <w:tcW w:type="pct" w:w="2000"/>
            <w:shd w:fill="FFFFFF" w:val="clear"/>
            <w:tcMar>
              <w:top w:type="dxa" w:w="100"/>
              <w:left w:type="dxa" w:w="160"/>
              <w:bottom w:type="dxa" w:w="100"/>
              <w:right w:type="dxa" w:w="160"/>
            </w:tcMar>
          </w:tcPr>
          <w:p>
            <w:r>
              <w:rPr>
                <w:rFonts w:ascii="Calibri" w:cs="Calibri" w:eastAsia="Calibri" w:hAnsi="Calibri"/>
                <w:b w:val="false"/>
                <w:bCs w:val="false"/>
                <w:color w:val="334155"/>
                <w:sz w:val="20"/>
                <w:szCs w:val="20"/>
              </w:rPr>
              <w:t xml:space="preserve">Secure RESTful microservices, business validation logic, transactional data processing.</w:t>
            </w:r>
          </w:p>
        </w:tc>
      </w:tr>
      <w:tr>
        <w:tc>
          <w:tcPr>
            <w:tcW w:type="pct" w:w="1250"/>
            <w:shd w:fill="FFFFFF" w:val="clear"/>
            <w:tcMar>
              <w:top w:type="dxa" w:w="100"/>
              <w:left w:type="dxa" w:w="160"/>
              <w:bottom w:type="dxa" w:w="100"/>
              <w:right w:type="dxa" w:w="160"/>
            </w:tcMar>
          </w:tcPr>
          <w:p>
            <w:r>
              <w:rPr>
                <w:rFonts w:ascii="Calibri" w:cs="Calibri" w:eastAsia="Calibri" w:hAnsi="Calibri"/>
                <w:b/>
                <w:bCs/>
                <w:color w:val="334155"/>
                <w:sz w:val="20"/>
                <w:szCs w:val="20"/>
              </w:rPr>
              <w:t xml:space="preserve">Database</w:t>
            </w:r>
          </w:p>
        </w:tc>
        <w:tc>
          <w:tcPr>
            <w:tcW w:type="pct" w:w="1750"/>
            <w:shd w:fill="FFFFFF" w:val="clear"/>
            <w:tcMar>
              <w:top w:type="dxa" w:w="100"/>
              <w:left w:type="dxa" w:w="160"/>
              <w:bottom w:type="dxa" w:w="100"/>
              <w:right w:type="dxa" w:w="160"/>
            </w:tcMar>
          </w:tcPr>
          <w:p>
            <w:r>
              <w:rPr>
                <w:rFonts w:ascii="Calibri" w:cs="Calibri" w:eastAsia="Calibri" w:hAnsi="Calibri"/>
                <w:b w:val="false"/>
                <w:bCs w:val="false"/>
                <w:color w:val="334155"/>
                <w:sz w:val="20"/>
                <w:szCs w:val="20"/>
              </w:rPr>
              <w:t xml:space="preserve">PostgreSQL / Relational SQL DB</w:t>
            </w:r>
          </w:p>
        </w:tc>
        <w:tc>
          <w:tcPr>
            <w:tcW w:type="pct" w:w="2000"/>
            <w:shd w:fill="FFFFFF" w:val="clear"/>
            <w:tcMar>
              <w:top w:type="dxa" w:w="100"/>
              <w:left w:type="dxa" w:w="160"/>
              <w:bottom w:type="dxa" w:w="100"/>
              <w:right w:type="dxa" w:w="160"/>
            </w:tcMar>
          </w:tcPr>
          <w:p>
            <w:r>
              <w:rPr>
                <w:rFonts w:ascii="Calibri" w:cs="Calibri" w:eastAsia="Calibri" w:hAnsi="Calibri"/>
                <w:b w:val="false"/>
                <w:bCs w:val="false"/>
                <w:color w:val="334155"/>
                <w:sz w:val="20"/>
                <w:szCs w:val="20"/>
              </w:rPr>
              <w:t xml:space="preserve">ACID compliant persistence for ledgers, trips, documents, and fleet records.</w:t>
            </w:r>
          </w:p>
        </w:tc>
      </w:tr>
      <w:tr>
        <w:tc>
          <w:tcPr>
            <w:tcW w:type="pct" w:w="1250"/>
            <w:shd w:fill="F8FAFC" w:val="clear"/>
            <w:tcMar>
              <w:top w:type="dxa" w:w="100"/>
              <w:left w:type="dxa" w:w="160"/>
              <w:bottom w:type="dxa" w:w="100"/>
              <w:right w:type="dxa" w:w="160"/>
            </w:tcMar>
          </w:tcPr>
          <w:p>
            <w:r>
              <w:rPr>
                <w:rFonts w:ascii="Calibri" w:cs="Calibri" w:eastAsia="Calibri" w:hAnsi="Calibri"/>
                <w:b/>
                <w:bCs/>
                <w:color w:val="334155"/>
                <w:sz w:val="20"/>
                <w:szCs w:val="20"/>
              </w:rPr>
              <w:t xml:space="preserve">Security Layer</w:t>
            </w:r>
          </w:p>
        </w:tc>
        <w:tc>
          <w:tcPr>
            <w:tcW w:type="pct" w:w="1750"/>
            <w:shd w:fill="FFFFFF" w:val="clear"/>
            <w:tcMar>
              <w:top w:type="dxa" w:w="100"/>
              <w:left w:type="dxa" w:w="160"/>
              <w:bottom w:type="dxa" w:w="100"/>
              <w:right w:type="dxa" w:w="160"/>
            </w:tcMar>
          </w:tcPr>
          <w:p>
            <w:r>
              <w:rPr>
                <w:rFonts w:ascii="Calibri" w:cs="Calibri" w:eastAsia="Calibri" w:hAnsi="Calibri"/>
                <w:b w:val="false"/>
                <w:bCs w:val="false"/>
                <w:color w:val="334155"/>
                <w:sz w:val="20"/>
                <w:szCs w:val="20"/>
              </w:rPr>
              <w:t xml:space="preserve">Spring Security 6, JWT Tokens, CORS Whitelist</w:t>
            </w:r>
          </w:p>
        </w:tc>
        <w:tc>
          <w:tcPr>
            <w:tcW w:type="pct" w:w="2000"/>
            <w:shd w:fill="FFFFFF" w:val="clear"/>
            <w:tcMar>
              <w:top w:type="dxa" w:w="100"/>
              <w:left w:type="dxa" w:w="160"/>
              <w:bottom w:type="dxa" w:w="100"/>
              <w:right w:type="dxa" w:w="160"/>
            </w:tcMar>
          </w:tcPr>
          <w:p>
            <w:r>
              <w:rPr>
                <w:rFonts w:ascii="Calibri" w:cs="Calibri" w:eastAsia="Calibri" w:hAnsi="Calibri"/>
                <w:b w:val="false"/>
                <w:bCs w:val="false"/>
                <w:color w:val="334155"/>
                <w:sz w:val="20"/>
                <w:szCs w:val="20"/>
              </w:rPr>
              <w:t xml:space="preserve">Role-Based Access Control (RBAC), stateless API token verification, data segregation.</w:t>
            </w:r>
          </w:p>
        </w:tc>
      </w:tr>
      <w:tr>
        <w:tc>
          <w:tcPr>
            <w:tcW w:type="pct" w:w="1250"/>
            <w:shd w:fill="FFFFFF" w:val="clear"/>
            <w:tcMar>
              <w:top w:type="dxa" w:w="100"/>
              <w:left w:type="dxa" w:w="160"/>
              <w:bottom w:type="dxa" w:w="100"/>
              <w:right w:type="dxa" w:w="160"/>
            </w:tcMar>
          </w:tcPr>
          <w:p>
            <w:r>
              <w:rPr>
                <w:rFonts w:ascii="Calibri" w:cs="Calibri" w:eastAsia="Calibri" w:hAnsi="Calibri"/>
                <w:b/>
                <w:bCs/>
                <w:color w:val="334155"/>
                <w:sz w:val="20"/>
                <w:szCs w:val="20"/>
              </w:rPr>
              <w:t xml:space="preserve">Reporting &amp; Docs</w:t>
            </w:r>
          </w:p>
        </w:tc>
        <w:tc>
          <w:tcPr>
            <w:tcW w:type="pct" w:w="1750"/>
            <w:shd w:fill="FFFFFF" w:val="clear"/>
            <w:tcMar>
              <w:top w:type="dxa" w:w="100"/>
              <w:left w:type="dxa" w:w="160"/>
              <w:bottom w:type="dxa" w:w="100"/>
              <w:right w:type="dxa" w:w="160"/>
            </w:tcMar>
          </w:tcPr>
          <w:p>
            <w:r>
              <w:rPr>
                <w:rFonts w:ascii="Calibri" w:cs="Calibri" w:eastAsia="Calibri" w:hAnsi="Calibri"/>
                <w:b w:val="false"/>
                <w:bCs w:val="false"/>
                <w:color w:val="334155"/>
                <w:sz w:val="20"/>
                <w:szCs w:val="20"/>
              </w:rPr>
              <w:t xml:space="preserve">PDF Generation Engines, Document Automation</w:t>
            </w:r>
          </w:p>
        </w:tc>
        <w:tc>
          <w:tcPr>
            <w:tcW w:type="pct" w:w="2000"/>
            <w:shd w:fill="FFFFFF" w:val="clear"/>
            <w:tcMar>
              <w:top w:type="dxa" w:w="100"/>
              <w:left w:type="dxa" w:w="160"/>
              <w:bottom w:type="dxa" w:w="100"/>
              <w:right w:type="dxa" w:w="160"/>
            </w:tcMar>
          </w:tcPr>
          <w:p>
            <w:r>
              <w:rPr>
                <w:rFonts w:ascii="Calibri" w:cs="Calibri" w:eastAsia="Calibri" w:hAnsi="Calibri"/>
                <w:b w:val="false"/>
                <w:bCs w:val="false"/>
                <w:color w:val="334155"/>
                <w:sz w:val="20"/>
                <w:szCs w:val="20"/>
              </w:rPr>
              <w:t xml:space="preserve">Real-time digital LR/Bilty printing, automated GST invoice PDFs, and audit logs.</w:t>
            </w:r>
          </w:p>
        </w:tc>
      </w:tr>
    </w:tbl>
    <w:p>
      <w:pPr>
        <w:pStyle w:val="Heading1"/>
        <w:spacing w:after="140" w:before="360"/>
      </w:pPr>
      <w:r>
        <w:rPr>
          <w:rFonts w:ascii="Calibri" w:cs="Calibri" w:eastAsia="Calibri" w:hAnsi="Calibri"/>
          <w:b/>
          <w:bCs/>
          <w:color w:val="1E3A8A"/>
          <w:sz w:val="30"/>
          <w:szCs w:val="30"/>
        </w:rPr>
        <w:t xml:space="preserve">4. Detailed Functional Modules &amp; Capabilities</w:t>
      </w:r>
    </w:p>
    <w:p>
      <w:pPr>
        <w:pStyle w:val="Heading2"/>
        <w:spacing w:after="100" w:before="240"/>
      </w:pPr>
      <w:r>
        <w:rPr>
          <w:rFonts w:ascii="Calibri" w:cs="Calibri" w:eastAsia="Calibri" w:hAnsi="Calibri"/>
          <w:b/>
          <w:bCs/>
          <w:color w:val="0F766E"/>
          <w:sz w:val="24"/>
          <w:szCs w:val="24"/>
        </w:rPr>
        <w:t xml:space="preserve">4.1. Trip Dispatch &amp; Digital LR / Bilty Management</w:t>
      </w:r>
    </w:p>
    <w:p>
      <w:pPr>
        <w:spacing w:after="120" w:before="80"/>
      </w:pPr>
      <w:r>
        <w:rPr>
          <w:rFonts w:ascii="Calibri" w:cs="Calibri" w:eastAsia="Calibri" w:hAnsi="Calibri"/>
          <w:color w:val="334155"/>
          <w:sz w:val="22"/>
          <w:szCs w:val="22"/>
        </w:rPr>
        <w:t xml:space="preserve">Central logistics command center for managing consignments from booking to destination offloading:</w:t>
      </w:r>
    </w:p>
    <w:p>
      <w:pPr>
        <w:pStyle w:val="ListParagraph"/>
        <w:numPr>
          <w:ilvl w:val="0"/>
          <w:numId w:val="1"/>
        </w:numPr>
        <w:spacing w:after="60" w:before="60"/>
      </w:pPr>
      <w:r>
        <w:rPr>
          <w:rFonts w:ascii="Calibri" w:cs="Calibri" w:eastAsia="Calibri" w:hAnsi="Calibri"/>
          <w:b/>
          <w:bCs/>
          <w:color w:val="0F172A"/>
          <w:sz w:val="22"/>
          <w:szCs w:val="22"/>
        </w:rPr>
        <w:t xml:space="preserve">Smart Load Matching: </w:t>
      </w:r>
      <w:r>
        <w:rPr>
          <w:rFonts w:ascii="Calibri" w:cs="Calibri" w:eastAsia="Calibri" w:hAnsi="Calibri"/>
          <w:color w:val="475569"/>
          <w:sz w:val="22"/>
          <w:szCs w:val="22"/>
        </w:rPr>
        <w:t xml:space="preserve">Allocate appropriate vehicle category (Container, Flatbed, Trailer) and verified driver according to route demand and tonnage.</w:t>
      </w:r>
    </w:p>
    <w:p>
      <w:pPr>
        <w:pStyle w:val="ListParagraph"/>
        <w:numPr>
          <w:ilvl w:val="0"/>
          <w:numId w:val="1"/>
        </w:numPr>
        <w:spacing w:after="60" w:before="60"/>
      </w:pPr>
      <w:r>
        <w:rPr>
          <w:rFonts w:ascii="Calibri" w:cs="Calibri" w:eastAsia="Calibri" w:hAnsi="Calibri"/>
          <w:b/>
          <w:bCs/>
          <w:color w:val="0F172A"/>
          <w:sz w:val="22"/>
          <w:szCs w:val="22"/>
        </w:rPr>
        <w:t xml:space="preserve">Instant Digital LR (Bilty): </w:t>
      </w:r>
      <w:r>
        <w:rPr>
          <w:rFonts w:ascii="Calibri" w:cs="Calibri" w:eastAsia="Calibri" w:hAnsi="Calibri"/>
          <w:color w:val="475569"/>
          <w:sz w:val="22"/>
          <w:szCs w:val="22"/>
        </w:rPr>
        <w:t xml:space="preserve">Generate legal, standardized Lorry Receipts containing Consignor/Consignee GSTINs, pickup/drop coordinates, freight terms (To-Pay / Paid / To-be-Billed), and QR codes.</w:t>
      </w:r>
    </w:p>
    <w:p>
      <w:pPr>
        <w:pStyle w:val="ListParagraph"/>
        <w:numPr>
          <w:ilvl w:val="0"/>
          <w:numId w:val="1"/>
        </w:numPr>
        <w:spacing w:after="60" w:before="60"/>
      </w:pPr>
      <w:r>
        <w:rPr>
          <w:rFonts w:ascii="Calibri" w:cs="Calibri" w:eastAsia="Calibri" w:hAnsi="Calibri"/>
          <w:b/>
          <w:bCs/>
          <w:color w:val="0F172A"/>
          <w:sz w:val="22"/>
          <w:szCs w:val="22"/>
        </w:rPr>
        <w:t xml:space="preserve">Live Transit Monitoring: </w:t>
      </w:r>
      <w:r>
        <w:rPr>
          <w:rFonts w:ascii="Calibri" w:cs="Calibri" w:eastAsia="Calibri" w:hAnsi="Calibri"/>
          <w:color w:val="475569"/>
          <w:sz w:val="22"/>
          <w:szCs w:val="22"/>
        </w:rPr>
        <w:t xml:space="preserve">Track vehicles through integrated GPS telematics, monitor checkpoints, calculate live ETAs, and notify stakeholders regarding transit delays.</w:t>
      </w:r>
    </w:p>
    <w:p>
      <w:pPr>
        <w:pStyle w:val="ListParagraph"/>
        <w:numPr>
          <w:ilvl w:val="0"/>
          <w:numId w:val="1"/>
        </w:numPr>
        <w:spacing w:after="60" w:before="60"/>
      </w:pPr>
      <w:r>
        <w:rPr>
          <w:rFonts w:ascii="Calibri" w:cs="Calibri" w:eastAsia="Calibri" w:hAnsi="Calibri"/>
          <w:b/>
          <w:bCs/>
          <w:color w:val="0F172A"/>
          <w:sz w:val="22"/>
          <w:szCs w:val="22"/>
        </w:rPr>
        <w:t xml:space="preserve">POD (Proof of Delivery): </w:t>
      </w:r>
      <w:r>
        <w:rPr>
          <w:rFonts w:ascii="Calibri" w:cs="Calibri" w:eastAsia="Calibri" w:hAnsi="Calibri"/>
          <w:color w:val="475569"/>
          <w:sz w:val="22"/>
          <w:szCs w:val="22"/>
        </w:rPr>
        <w:t xml:space="preserve">Upload digital delivery receipts, consignee acknowledgments, and shortage/damage remarks directly from mobile or dispatch terminals.</w:t>
      </w:r>
    </w:p>
    <w:p>
      <w:pPr>
        <w:pStyle w:val="Heading2"/>
        <w:spacing w:after="100" w:before="240"/>
      </w:pPr>
      <w:r>
        <w:rPr>
          <w:rFonts w:ascii="Calibri" w:cs="Calibri" w:eastAsia="Calibri" w:hAnsi="Calibri"/>
          <w:b/>
          <w:bCs/>
          <w:color w:val="0F766E"/>
          <w:sz w:val="24"/>
          <w:szCs w:val="24"/>
        </w:rPr>
        <w:t xml:space="preserve">4.2. Fleet 360° &amp; Vehicle Maintenance</w:t>
      </w:r>
    </w:p>
    <w:p>
      <w:pPr>
        <w:spacing w:after="120" w:before="80"/>
      </w:pPr>
      <w:r>
        <w:rPr>
          <w:rFonts w:ascii="Calibri" w:cs="Calibri" w:eastAsia="Calibri" w:hAnsi="Calibri"/>
          <w:color w:val="334155"/>
          <w:sz w:val="22"/>
          <w:szCs w:val="22"/>
        </w:rPr>
        <w:t xml:space="preserve">Complete lifecycle management for owned, attached, and market-hired vehicles:</w:t>
      </w:r>
    </w:p>
    <w:p>
      <w:pPr>
        <w:pStyle w:val="ListParagraph"/>
        <w:numPr>
          <w:ilvl w:val="0"/>
          <w:numId w:val="1"/>
        </w:numPr>
        <w:spacing w:after="60" w:before="60"/>
      </w:pPr>
      <w:r>
        <w:rPr>
          <w:rFonts w:ascii="Calibri" w:cs="Calibri" w:eastAsia="Calibri" w:hAnsi="Calibri"/>
          <w:b/>
          <w:bCs/>
          <w:color w:val="0F172A"/>
          <w:sz w:val="22"/>
          <w:szCs w:val="22"/>
        </w:rPr>
        <w:t xml:space="preserve">360° Asset Directory: </w:t>
      </w:r>
      <w:r>
        <w:rPr>
          <w:rFonts w:ascii="Calibri" w:cs="Calibri" w:eastAsia="Calibri" w:hAnsi="Calibri"/>
          <w:color w:val="475569"/>
          <w:sz w:val="22"/>
          <w:szCs w:val="22"/>
        </w:rPr>
        <w:t xml:space="preserve">Track registration numbers, chassis/engine serials, payload ratings, fuel capacity, and assigned drivers.</w:t>
      </w:r>
    </w:p>
    <w:p>
      <w:pPr>
        <w:pStyle w:val="ListParagraph"/>
        <w:numPr>
          <w:ilvl w:val="0"/>
          <w:numId w:val="1"/>
        </w:numPr>
        <w:spacing w:after="60" w:before="60"/>
      </w:pPr>
      <w:r>
        <w:rPr>
          <w:rFonts w:ascii="Calibri" w:cs="Calibri" w:eastAsia="Calibri" w:hAnsi="Calibri"/>
          <w:b/>
          <w:bCs/>
          <w:color w:val="0F172A"/>
          <w:sz w:val="22"/>
          <w:szCs w:val="22"/>
        </w:rPr>
        <w:t xml:space="preserve">Proactive Expiry Vault: </w:t>
      </w:r>
      <w:r>
        <w:rPr>
          <w:rFonts w:ascii="Calibri" w:cs="Calibri" w:eastAsia="Calibri" w:hAnsi="Calibri"/>
          <w:color w:val="475569"/>
          <w:sz w:val="22"/>
          <w:szCs w:val="22"/>
        </w:rPr>
        <w:t xml:space="preserve">Automated tracking for Insurance, National Permit, State Road Tax, Fitness Certificate, and PUC. Sends alerts at 30, 15, and 7-day windows.</w:t>
      </w:r>
    </w:p>
    <w:p>
      <w:pPr>
        <w:pStyle w:val="ListParagraph"/>
        <w:numPr>
          <w:ilvl w:val="0"/>
          <w:numId w:val="1"/>
        </w:numPr>
        <w:spacing w:after="60" w:before="60"/>
      </w:pPr>
      <w:r>
        <w:rPr>
          <w:rFonts w:ascii="Calibri" w:cs="Calibri" w:eastAsia="Calibri" w:hAnsi="Calibri"/>
          <w:b/>
          <w:bCs/>
          <w:color w:val="0F172A"/>
          <w:sz w:val="22"/>
          <w:szCs w:val="22"/>
        </w:rPr>
        <w:t xml:space="preserve">Preventive Maintenance: </w:t>
      </w:r>
      <w:r>
        <w:rPr>
          <w:rFonts w:ascii="Calibri" w:cs="Calibri" w:eastAsia="Calibri" w:hAnsi="Calibri"/>
          <w:color w:val="475569"/>
          <w:sz w:val="22"/>
          <w:szCs w:val="22"/>
        </w:rPr>
        <w:t xml:space="preserve">Schedule servicing based on odometer milestones or calendar intervals (oil changes, brake overhauls, filter replacements).</w:t>
      </w:r>
    </w:p>
    <w:p>
      <w:pPr>
        <w:pStyle w:val="ListParagraph"/>
        <w:numPr>
          <w:ilvl w:val="0"/>
          <w:numId w:val="1"/>
        </w:numPr>
        <w:spacing w:after="60" w:before="60"/>
      </w:pPr>
      <w:r>
        <w:rPr>
          <w:rFonts w:ascii="Calibri" w:cs="Calibri" w:eastAsia="Calibri" w:hAnsi="Calibri"/>
          <w:b/>
          <w:bCs/>
          <w:color w:val="0F172A"/>
          <w:sz w:val="22"/>
          <w:szCs w:val="22"/>
        </w:rPr>
        <w:t xml:space="preserve">Workshop Job Cards: </w:t>
      </w:r>
      <w:r>
        <w:rPr>
          <w:rFonts w:ascii="Calibri" w:cs="Calibri" w:eastAsia="Calibri" w:hAnsi="Calibri"/>
          <w:color w:val="475569"/>
          <w:sz w:val="22"/>
          <w:szCs w:val="22"/>
        </w:rPr>
        <w:t xml:space="preserve">Log breakdown repairs, spare parts utilized, mechanic labor charges, and total vehicle downtime.</w:t>
      </w:r>
    </w:p>
    <w:p>
      <w:pPr>
        <w:pStyle w:val="Heading2"/>
        <w:spacing w:after="100" w:before="240"/>
      </w:pPr>
      <w:r>
        <w:rPr>
          <w:rFonts w:ascii="Calibri" w:cs="Calibri" w:eastAsia="Calibri" w:hAnsi="Calibri"/>
          <w:b/>
          <w:bCs/>
          <w:color w:val="0F766E"/>
          <w:sz w:val="24"/>
          <w:szCs w:val="24"/>
        </w:rPr>
        <w:t xml:space="preserve">4.3. Driver Management &amp; Workforce Safety</w:t>
      </w:r>
    </w:p>
    <w:p>
      <w:pPr>
        <w:spacing w:after="120" w:before="80"/>
      </w:pPr>
      <w:r>
        <w:rPr>
          <w:rFonts w:ascii="Calibri" w:cs="Calibri" w:eastAsia="Calibri" w:hAnsi="Calibri"/>
          <w:color w:val="334155"/>
          <w:sz w:val="22"/>
          <w:szCs w:val="22"/>
        </w:rPr>
        <w:t xml:space="preserve">Empowering fleet operators to maintain a disciplined, verified, and safe driving workforce:</w:t>
      </w:r>
    </w:p>
    <w:p>
      <w:pPr>
        <w:pStyle w:val="ListParagraph"/>
        <w:numPr>
          <w:ilvl w:val="0"/>
          <w:numId w:val="1"/>
        </w:numPr>
        <w:spacing w:after="60" w:before="60"/>
      </w:pPr>
      <w:r>
        <w:rPr>
          <w:rFonts w:ascii="Calibri" w:cs="Calibri" w:eastAsia="Calibri" w:hAnsi="Calibri"/>
          <w:b/>
          <w:bCs/>
          <w:color w:val="0F172A"/>
          <w:sz w:val="22"/>
          <w:szCs w:val="22"/>
        </w:rPr>
        <w:t xml:space="preserve">Digital Driver Profiles: </w:t>
      </w:r>
      <w:r>
        <w:rPr>
          <w:rFonts w:ascii="Calibri" w:cs="Calibri" w:eastAsia="Calibri" w:hAnsi="Calibri"/>
          <w:color w:val="475569"/>
          <w:sz w:val="22"/>
          <w:szCs w:val="22"/>
        </w:rPr>
        <w:t xml:space="preserve">Aadhaar, Commercial Driving License (DL) records, emergency contacts, blood group, and police verification history.</w:t>
      </w:r>
    </w:p>
    <w:p>
      <w:pPr>
        <w:pStyle w:val="ListParagraph"/>
        <w:numPr>
          <w:ilvl w:val="0"/>
          <w:numId w:val="1"/>
        </w:numPr>
        <w:spacing w:after="60" w:before="60"/>
      </w:pPr>
      <w:r>
        <w:rPr>
          <w:rFonts w:ascii="Calibri" w:cs="Calibri" w:eastAsia="Calibri" w:hAnsi="Calibri"/>
          <w:b/>
          <w:bCs/>
          <w:color w:val="0F172A"/>
          <w:sz w:val="22"/>
          <w:szCs w:val="22"/>
        </w:rPr>
        <w:t xml:space="preserve">License Expiry Watchdog: </w:t>
      </w:r>
      <w:r>
        <w:rPr>
          <w:rFonts w:ascii="Calibri" w:cs="Calibri" w:eastAsia="Calibri" w:hAnsi="Calibri"/>
          <w:color w:val="475569"/>
          <w:sz w:val="22"/>
          <w:szCs w:val="22"/>
        </w:rPr>
        <w:t xml:space="preserve">Strict checks preventing driver assignment to trips if their Heavy Vehicle License is due to expire.</w:t>
      </w:r>
    </w:p>
    <w:p>
      <w:pPr>
        <w:pStyle w:val="ListParagraph"/>
        <w:numPr>
          <w:ilvl w:val="0"/>
          <w:numId w:val="1"/>
        </w:numPr>
        <w:spacing w:after="60" w:before="60"/>
      </w:pPr>
      <w:r>
        <w:rPr>
          <w:rFonts w:ascii="Calibri" w:cs="Calibri" w:eastAsia="Calibri" w:hAnsi="Calibri"/>
          <w:b/>
          <w:bCs/>
          <w:color w:val="0F172A"/>
          <w:sz w:val="22"/>
          <w:szCs w:val="22"/>
        </w:rPr>
        <w:t xml:space="preserve">Performance Scorecards: </w:t>
      </w:r>
      <w:r>
        <w:rPr>
          <w:rFonts w:ascii="Calibri" w:cs="Calibri" w:eastAsia="Calibri" w:hAnsi="Calibri"/>
          <w:color w:val="475569"/>
          <w:sz w:val="22"/>
          <w:szCs w:val="22"/>
        </w:rPr>
        <w:t xml:space="preserve">Measure on-time arrivals, fuel economy, incident history, and trip completion rates.</w:t>
      </w:r>
    </w:p>
    <w:p>
      <w:pPr>
        <w:pStyle w:val="Heading2"/>
        <w:spacing w:after="100" w:before="240"/>
      </w:pPr>
      <w:r>
        <w:rPr>
          <w:rFonts w:ascii="Calibri" w:cs="Calibri" w:eastAsia="Calibri" w:hAnsi="Calibri"/>
          <w:b/>
          <w:bCs/>
          <w:color w:val="0F766E"/>
          <w:sz w:val="24"/>
          <w:szCs w:val="24"/>
        </w:rPr>
        <w:t xml:space="preserve">4.4. Finance, Invoicing &amp; Freight Accounting</w:t>
      </w:r>
    </w:p>
    <w:p>
      <w:pPr>
        <w:spacing w:after="120" w:before="80"/>
      </w:pPr>
      <w:r>
        <w:rPr>
          <w:rFonts w:ascii="Calibri" w:cs="Calibri" w:eastAsia="Calibri" w:hAnsi="Calibri"/>
          <w:color w:val="334155"/>
          <w:sz w:val="22"/>
          <w:szCs w:val="22"/>
        </w:rPr>
        <w:t xml:space="preserve">Robust accounting backbone purpose-built for Indian transport operations:</w:t>
      </w:r>
    </w:p>
    <w:p>
      <w:pPr>
        <w:pStyle w:val="ListParagraph"/>
        <w:numPr>
          <w:ilvl w:val="0"/>
          <w:numId w:val="1"/>
        </w:numPr>
        <w:spacing w:after="60" w:before="60"/>
      </w:pPr>
      <w:r>
        <w:rPr>
          <w:rFonts w:ascii="Calibri" w:cs="Calibri" w:eastAsia="Calibri" w:hAnsi="Calibri"/>
          <w:b/>
          <w:bCs/>
          <w:color w:val="0F172A"/>
          <w:sz w:val="22"/>
          <w:szCs w:val="22"/>
        </w:rPr>
        <w:t xml:space="preserve">1-Click Customer Invoicing: </w:t>
      </w:r>
      <w:r>
        <w:rPr>
          <w:rFonts w:ascii="Calibri" w:cs="Calibri" w:eastAsia="Calibri" w:hAnsi="Calibri"/>
          <w:color w:val="475569"/>
          <w:sz w:val="22"/>
          <w:szCs w:val="22"/>
        </w:rPr>
        <w:t xml:space="preserve">Auto-generate professional GST invoices consolidated across multiple completed LRs and delivery challans.</w:t>
      </w:r>
    </w:p>
    <w:p>
      <w:pPr>
        <w:pStyle w:val="ListParagraph"/>
        <w:numPr>
          <w:ilvl w:val="0"/>
          <w:numId w:val="1"/>
        </w:numPr>
        <w:spacing w:after="60" w:before="60"/>
      </w:pPr>
      <w:r>
        <w:rPr>
          <w:rFonts w:ascii="Calibri" w:cs="Calibri" w:eastAsia="Calibri" w:hAnsi="Calibri"/>
          <w:b/>
          <w:bCs/>
          <w:color w:val="0F172A"/>
          <w:sz w:val="22"/>
          <w:szCs w:val="22"/>
        </w:rPr>
        <w:t xml:space="preserve">Trip-Level P&amp;L Engine: </w:t>
      </w:r>
      <w:r>
        <w:rPr>
          <w:rFonts w:ascii="Calibri" w:cs="Calibri" w:eastAsia="Calibri" w:hAnsi="Calibri"/>
          <w:color w:val="475569"/>
          <w:sz w:val="22"/>
          <w:szCs w:val="22"/>
        </w:rPr>
        <w:t xml:space="preserve">Instantly compute profitability per individual trip: Net Margin = Total Freight Revenue - (Fuel Spent + Tolls/FASTag + Driver Advance + En-route Maintenance + Commissions).</w:t>
      </w:r>
    </w:p>
    <w:p>
      <w:pPr>
        <w:pStyle w:val="ListParagraph"/>
        <w:numPr>
          <w:ilvl w:val="0"/>
          <w:numId w:val="1"/>
        </w:numPr>
        <w:spacing w:after="60" w:before="60"/>
      </w:pPr>
      <w:r>
        <w:rPr>
          <w:rFonts w:ascii="Calibri" w:cs="Calibri" w:eastAsia="Calibri" w:hAnsi="Calibri"/>
          <w:b/>
          <w:bCs/>
          <w:color w:val="0F172A"/>
          <w:sz w:val="22"/>
          <w:szCs w:val="22"/>
        </w:rPr>
        <w:t xml:space="preserve">Advances &amp; Petty Cash: </w:t>
      </w:r>
      <w:r>
        <w:rPr>
          <w:rFonts w:ascii="Calibri" w:cs="Calibri" w:eastAsia="Calibri" w:hAnsi="Calibri"/>
          <w:color w:val="475569"/>
          <w:sz w:val="22"/>
          <w:szCs w:val="22"/>
        </w:rPr>
        <w:t xml:space="preserve">Control cash handouts before trip departure, track en-route emergency approvals, and settle balances upon driver return.</w:t>
      </w:r>
    </w:p>
    <w:p>
      <w:pPr>
        <w:pStyle w:val="ListParagraph"/>
        <w:numPr>
          <w:ilvl w:val="0"/>
          <w:numId w:val="1"/>
        </w:numPr>
        <w:spacing w:after="60" w:before="60"/>
      </w:pPr>
      <w:r>
        <w:rPr>
          <w:rFonts w:ascii="Calibri" w:cs="Calibri" w:eastAsia="Calibri" w:hAnsi="Calibri"/>
          <w:b/>
          <w:bCs/>
          <w:color w:val="0F172A"/>
          <w:sz w:val="22"/>
          <w:szCs w:val="22"/>
        </w:rPr>
        <w:t xml:space="preserve">Customer Ledgers &amp; Aging: </w:t>
      </w:r>
      <w:r>
        <w:rPr>
          <w:rFonts w:ascii="Calibri" w:cs="Calibri" w:eastAsia="Calibri" w:hAnsi="Calibri"/>
          <w:color w:val="475569"/>
          <w:sz w:val="22"/>
          <w:szCs w:val="22"/>
        </w:rPr>
        <w:t xml:space="preserve">Track receivables with 30/60/90-day aging buckets, payment receipts, and automated customer payment reminders.</w:t>
      </w:r>
    </w:p>
    <w:p>
      <w:pPr>
        <w:pStyle w:val="Heading2"/>
        <w:spacing w:after="100" w:before="240"/>
      </w:pPr>
      <w:r>
        <w:rPr>
          <w:rFonts w:ascii="Calibri" w:cs="Calibri" w:eastAsia="Calibri" w:hAnsi="Calibri"/>
          <w:b/>
          <w:bCs/>
          <w:color w:val="0F766E"/>
          <w:sz w:val="24"/>
          <w:szCs w:val="24"/>
        </w:rPr>
        <w:t xml:space="preserve">4.5. Fuel Intelligence &amp; Pilferage Protection</w:t>
      </w:r>
    </w:p>
    <w:p>
      <w:pPr>
        <w:spacing w:after="120" w:before="80"/>
      </w:pPr>
      <w:r>
        <w:rPr>
          <w:rFonts w:ascii="Calibri" w:cs="Calibri" w:eastAsia="Calibri" w:hAnsi="Calibri"/>
          <w:color w:val="334155"/>
          <w:sz w:val="22"/>
          <w:szCs w:val="22"/>
        </w:rPr>
        <w:t xml:space="preserve">Fuel constitutes 40-55% of operating costs. TransportMS strictly curbs leakage:</w:t>
      </w:r>
    </w:p>
    <w:p>
      <w:pPr>
        <w:pStyle w:val="ListParagraph"/>
        <w:numPr>
          <w:ilvl w:val="0"/>
          <w:numId w:val="1"/>
        </w:numPr>
        <w:spacing w:after="60" w:before="60"/>
      </w:pPr>
      <w:r>
        <w:rPr>
          <w:rFonts w:ascii="Calibri" w:cs="Calibri" w:eastAsia="Calibri" w:hAnsi="Calibri"/>
          <w:b/>
          <w:bCs/>
          <w:color w:val="0F172A"/>
          <w:sz w:val="22"/>
          <w:szCs w:val="22"/>
        </w:rPr>
        <w:t xml:space="preserve">Fuel Slip Digitalization: </w:t>
      </w:r>
      <w:r>
        <w:rPr>
          <w:rFonts w:ascii="Calibri" w:cs="Calibri" w:eastAsia="Calibri" w:hAnsi="Calibri"/>
          <w:color w:val="475569"/>
          <w:sz w:val="22"/>
          <w:szCs w:val="22"/>
        </w:rPr>
        <w:t xml:space="preserve">Log fuel pump receipts, litres pumped, meter readings, and pump locations.</w:t>
      </w:r>
    </w:p>
    <w:p>
      <w:pPr>
        <w:pStyle w:val="ListParagraph"/>
        <w:numPr>
          <w:ilvl w:val="0"/>
          <w:numId w:val="1"/>
        </w:numPr>
        <w:spacing w:after="60" w:before="60"/>
      </w:pPr>
      <w:r>
        <w:rPr>
          <w:rFonts w:ascii="Calibri" w:cs="Calibri" w:eastAsia="Calibri" w:hAnsi="Calibri"/>
          <w:b/>
          <w:bCs/>
          <w:color w:val="0F172A"/>
          <w:sz w:val="22"/>
          <w:szCs w:val="22"/>
        </w:rPr>
        <w:t xml:space="preserve">Mileage Anomaly Alarms: </w:t>
      </w:r>
      <w:r>
        <w:rPr>
          <w:rFonts w:ascii="Calibri" w:cs="Calibri" w:eastAsia="Calibri" w:hAnsi="Calibri"/>
          <w:color w:val="475569"/>
          <w:sz w:val="22"/>
          <w:szCs w:val="22"/>
        </w:rPr>
        <w:t xml:space="preserve">Cross-references odometer kilometers from GPS with fuel consumption to flag suspected siphoning or sudden mileage drops.</w:t>
      </w:r>
    </w:p>
    <w:p>
      <w:pPr>
        <w:pStyle w:val="ListParagraph"/>
        <w:numPr>
          <w:ilvl w:val="0"/>
          <w:numId w:val="1"/>
        </w:numPr>
        <w:spacing w:after="60" w:before="60"/>
      </w:pPr>
      <w:r>
        <w:rPr>
          <w:rFonts w:ascii="Calibri" w:cs="Calibri" w:eastAsia="Calibri" w:hAnsi="Calibri"/>
          <w:b/>
          <w:bCs/>
          <w:color w:val="0F172A"/>
          <w:sz w:val="22"/>
          <w:szCs w:val="22"/>
        </w:rPr>
        <w:t xml:space="preserve">Fuel Card Integration: </w:t>
      </w:r>
      <w:r>
        <w:rPr>
          <w:rFonts w:ascii="Calibri" w:cs="Calibri" w:eastAsia="Calibri" w:hAnsi="Calibri"/>
          <w:color w:val="475569"/>
          <w:sz w:val="22"/>
          <w:szCs w:val="22"/>
        </w:rPr>
        <w:t xml:space="preserve">Record corporate fleet fuel card transactions (HPCL, BPCL, IOCL) and reconcile balances.</w:t>
      </w:r>
    </w:p>
    <w:p>
      <w:pPr>
        <w:pStyle w:val="Heading2"/>
        <w:spacing w:after="100" w:before="240"/>
      </w:pPr>
      <w:r>
        <w:rPr>
          <w:rFonts w:ascii="Calibri" w:cs="Calibri" w:eastAsia="Calibri" w:hAnsi="Calibri"/>
          <w:b/>
          <w:bCs/>
          <w:color w:val="0F766E"/>
          <w:sz w:val="24"/>
          <w:szCs w:val="24"/>
        </w:rPr>
        <w:t xml:space="preserve">4.6. Tyre Lifecycle &amp; Spare Parts Inventory</w:t>
      </w:r>
    </w:p>
    <w:p>
      <w:pPr>
        <w:spacing w:after="120" w:before="80"/>
      </w:pPr>
      <w:r>
        <w:rPr>
          <w:rFonts w:ascii="Calibri" w:cs="Calibri" w:eastAsia="Calibri" w:hAnsi="Calibri"/>
          <w:color w:val="334155"/>
          <w:sz w:val="22"/>
          <w:szCs w:val="22"/>
        </w:rPr>
        <w:t xml:space="preserve">Detailed tracking of high-value fleet assets:</w:t>
      </w:r>
    </w:p>
    <w:p>
      <w:pPr>
        <w:pStyle w:val="ListParagraph"/>
        <w:numPr>
          <w:ilvl w:val="0"/>
          <w:numId w:val="1"/>
        </w:numPr>
        <w:spacing w:after="60" w:before="60"/>
      </w:pPr>
      <w:r>
        <w:rPr>
          <w:rFonts w:ascii="Calibri" w:cs="Calibri" w:eastAsia="Calibri" w:hAnsi="Calibri"/>
          <w:b/>
          <w:bCs/>
          <w:color w:val="0F172A"/>
          <w:sz w:val="22"/>
          <w:szCs w:val="22"/>
        </w:rPr>
        <w:t xml:space="preserve">Tyre Serial Number Tracking: </w:t>
      </w:r>
      <w:r>
        <w:rPr>
          <w:rFonts w:ascii="Calibri" w:cs="Calibri" w:eastAsia="Calibri" w:hAnsi="Calibri"/>
          <w:color w:val="475569"/>
          <w:sz w:val="22"/>
          <w:szCs w:val="22"/>
        </w:rPr>
        <w:t xml:space="preserve">Track every tyre individually from new purchase, wheel position mounting, rotation, retreading (Resoling), down to scrapping.</w:t>
      </w:r>
    </w:p>
    <w:p>
      <w:pPr>
        <w:pStyle w:val="ListParagraph"/>
        <w:numPr>
          <w:ilvl w:val="0"/>
          <w:numId w:val="1"/>
        </w:numPr>
        <w:spacing w:after="60" w:before="60"/>
      </w:pPr>
      <w:r>
        <w:rPr>
          <w:rFonts w:ascii="Calibri" w:cs="Calibri" w:eastAsia="Calibri" w:hAnsi="Calibri"/>
          <w:b/>
          <w:bCs/>
          <w:color w:val="0F172A"/>
          <w:sz w:val="22"/>
          <w:szCs w:val="22"/>
        </w:rPr>
        <w:t xml:space="preserve">Tread Depth &amp; Pressure Logs: </w:t>
      </w:r>
      <w:r>
        <w:rPr>
          <w:rFonts w:ascii="Calibri" w:cs="Calibri" w:eastAsia="Calibri" w:hAnsi="Calibri"/>
          <w:color w:val="475569"/>
          <w:sz w:val="22"/>
          <w:szCs w:val="22"/>
        </w:rPr>
        <w:t xml:space="preserve">Record periodic millimeter tread readings to predict replacement and maximize tyre mileage (Cost per KM).</w:t>
      </w:r>
    </w:p>
    <w:p>
      <w:pPr>
        <w:pStyle w:val="ListParagraph"/>
        <w:numPr>
          <w:ilvl w:val="0"/>
          <w:numId w:val="1"/>
        </w:numPr>
        <w:spacing w:after="60" w:before="60"/>
      </w:pPr>
      <w:r>
        <w:rPr>
          <w:rFonts w:ascii="Calibri" w:cs="Calibri" w:eastAsia="Calibri" w:hAnsi="Calibri"/>
          <w:b/>
          <w:bCs/>
          <w:color w:val="0F172A"/>
          <w:sz w:val="22"/>
          <w:szCs w:val="22"/>
        </w:rPr>
        <w:t xml:space="preserve">Spare Parts Stock Room: </w:t>
      </w:r>
      <w:r>
        <w:rPr>
          <w:rFonts w:ascii="Calibri" w:cs="Calibri" w:eastAsia="Calibri" w:hAnsi="Calibri"/>
          <w:color w:val="475569"/>
          <w:sz w:val="22"/>
          <w:szCs w:val="22"/>
        </w:rPr>
        <w:t xml:space="preserve">Maintain real-time inventory of filters, belts, lubricants, and bulbs with min-max reorder alerts.</w:t>
      </w:r>
    </w:p>
    <w:p>
      <w:pPr>
        <w:pStyle w:val="Heading2"/>
        <w:spacing w:after="100" w:before="240"/>
      </w:pPr>
      <w:r>
        <w:rPr>
          <w:rFonts w:ascii="Calibri" w:cs="Calibri" w:eastAsia="Calibri" w:hAnsi="Calibri"/>
          <w:b/>
          <w:bCs/>
          <w:color w:val="0F766E"/>
          <w:sz w:val="24"/>
          <w:szCs w:val="24"/>
        </w:rPr>
        <w:t xml:space="preserve">4.7. HR, Staff Labor &amp; Automated Payroll</w:t>
      </w:r>
    </w:p>
    <w:p>
      <w:pPr>
        <w:spacing w:after="120" w:before="80"/>
      </w:pPr>
      <w:r>
        <w:rPr>
          <w:rFonts w:ascii="Calibri" w:cs="Calibri" w:eastAsia="Calibri" w:hAnsi="Calibri"/>
          <w:color w:val="334155"/>
          <w:sz w:val="22"/>
          <w:szCs w:val="22"/>
        </w:rPr>
        <w:t xml:space="preserve">Streamlined workforce operations for drivers, workshop mechanics, and branch staff:</w:t>
      </w:r>
    </w:p>
    <w:p>
      <w:pPr>
        <w:pStyle w:val="ListParagraph"/>
        <w:numPr>
          <w:ilvl w:val="0"/>
          <w:numId w:val="1"/>
        </w:numPr>
        <w:spacing w:after="60" w:before="60"/>
      </w:pPr>
      <w:r>
        <w:rPr>
          <w:rFonts w:ascii="Calibri" w:cs="Calibri" w:eastAsia="Calibri" w:hAnsi="Calibri"/>
          <w:b/>
          <w:bCs/>
          <w:color w:val="0F172A"/>
          <w:sz w:val="22"/>
          <w:szCs w:val="22"/>
        </w:rPr>
        <w:t xml:space="preserve">Daily Attendance: </w:t>
      </w:r>
      <w:r>
        <w:rPr>
          <w:rFonts w:ascii="Calibri" w:cs="Calibri" w:eastAsia="Calibri" w:hAnsi="Calibri"/>
          <w:color w:val="475569"/>
          <w:sz w:val="22"/>
          <w:szCs w:val="22"/>
        </w:rPr>
        <w:t xml:space="preserve">Log shift duty, leaves, and attendance records.</w:t>
      </w:r>
    </w:p>
    <w:p>
      <w:pPr>
        <w:pStyle w:val="ListParagraph"/>
        <w:numPr>
          <w:ilvl w:val="0"/>
          <w:numId w:val="1"/>
        </w:numPr>
        <w:spacing w:after="60" w:before="60"/>
      </w:pPr>
      <w:r>
        <w:rPr>
          <w:rFonts w:ascii="Calibri" w:cs="Calibri" w:eastAsia="Calibri" w:hAnsi="Calibri"/>
          <w:b/>
          <w:bCs/>
          <w:color w:val="0F172A"/>
          <w:sz w:val="22"/>
          <w:szCs w:val="22"/>
        </w:rPr>
        <w:t xml:space="preserve">Dynamic Trip Incentives: </w:t>
      </w:r>
      <w:r>
        <w:rPr>
          <w:rFonts w:ascii="Calibri" w:cs="Calibri" w:eastAsia="Calibri" w:hAnsi="Calibri"/>
          <w:color w:val="475569"/>
          <w:sz w:val="22"/>
          <w:szCs w:val="22"/>
        </w:rPr>
        <w:t xml:space="preserve">Automate commission calculations based on kilometers covered, early delivery bonuses, and return-load sourcing.</w:t>
      </w:r>
    </w:p>
    <w:p>
      <w:pPr>
        <w:pStyle w:val="ListParagraph"/>
        <w:numPr>
          <w:ilvl w:val="0"/>
          <w:numId w:val="1"/>
        </w:numPr>
        <w:spacing w:after="60" w:before="60"/>
      </w:pPr>
      <w:r>
        <w:rPr>
          <w:rFonts w:ascii="Calibri" w:cs="Calibri" w:eastAsia="Calibri" w:hAnsi="Calibri"/>
          <w:b/>
          <w:bCs/>
          <w:color w:val="0F172A"/>
          <w:sz w:val="22"/>
          <w:szCs w:val="22"/>
        </w:rPr>
        <w:t xml:space="preserve">1-Click Payroll Run: </w:t>
      </w:r>
      <w:r>
        <w:rPr>
          <w:rFonts w:ascii="Calibri" w:cs="Calibri" w:eastAsia="Calibri" w:hAnsi="Calibri"/>
          <w:color w:val="475569"/>
          <w:sz w:val="22"/>
          <w:szCs w:val="22"/>
        </w:rPr>
        <w:t xml:space="preserve">Automatically deduct trip advances from monthly base pay, calculate statutory deductions, and export professional payslips.</w:t>
      </w:r>
    </w:p>
    <w:p>
      <w:pPr>
        <w:pStyle w:val="Heading2"/>
        <w:spacing w:after="100" w:before="240"/>
      </w:pPr>
      <w:r>
        <w:rPr>
          <w:rFonts w:ascii="Calibri" w:cs="Calibri" w:eastAsia="Calibri" w:hAnsi="Calibri"/>
          <w:b/>
          <w:bCs/>
          <w:color w:val="0F766E"/>
          <w:sz w:val="24"/>
          <w:szCs w:val="24"/>
        </w:rPr>
        <w:t xml:space="preserve">4.8. Security, RBAC &amp; Audit Trail</w:t>
      </w:r>
    </w:p>
    <w:p>
      <w:pPr>
        <w:spacing w:after="120" w:before="80"/>
      </w:pPr>
      <w:r>
        <w:rPr>
          <w:rFonts w:ascii="Calibri" w:cs="Calibri" w:eastAsia="Calibri" w:hAnsi="Calibri"/>
          <w:color w:val="334155"/>
          <w:sz w:val="22"/>
          <w:szCs w:val="22"/>
        </w:rPr>
        <w:t xml:space="preserve">Enterprise governance and data protection:</w:t>
      </w:r>
    </w:p>
    <w:p>
      <w:pPr>
        <w:pStyle w:val="ListParagraph"/>
        <w:numPr>
          <w:ilvl w:val="0"/>
          <w:numId w:val="1"/>
        </w:numPr>
        <w:spacing w:after="60" w:before="60"/>
      </w:pPr>
      <w:r>
        <w:rPr>
          <w:rFonts w:ascii="Calibri" w:cs="Calibri" w:eastAsia="Calibri" w:hAnsi="Calibri"/>
          <w:b/>
          <w:bCs/>
          <w:color w:val="0F172A"/>
          <w:sz w:val="22"/>
          <w:szCs w:val="22"/>
        </w:rPr>
        <w:t xml:space="preserve">Role-Based Access Control (RBAC): </w:t>
      </w:r>
      <w:r>
        <w:rPr>
          <w:rFonts w:ascii="Calibri" w:cs="Calibri" w:eastAsia="Calibri" w:hAnsi="Calibri"/>
          <w:color w:val="475569"/>
          <w:sz w:val="22"/>
          <w:szCs w:val="22"/>
        </w:rPr>
        <w:t xml:space="preserve">Predefined access templates for Administrator, Dispatcher, Accountant, Workshop Manager, and Driver.</w:t>
      </w:r>
    </w:p>
    <w:p>
      <w:pPr>
        <w:pStyle w:val="ListParagraph"/>
        <w:numPr>
          <w:ilvl w:val="0"/>
          <w:numId w:val="1"/>
        </w:numPr>
        <w:spacing w:after="60" w:before="60"/>
      </w:pPr>
      <w:r>
        <w:rPr>
          <w:rFonts w:ascii="Calibri" w:cs="Calibri" w:eastAsia="Calibri" w:hAnsi="Calibri"/>
          <w:b/>
          <w:bCs/>
          <w:color w:val="0F172A"/>
          <w:sz w:val="22"/>
          <w:szCs w:val="22"/>
        </w:rPr>
        <w:t xml:space="preserve">Immutable Audit Log: </w:t>
      </w:r>
      <w:r>
        <w:rPr>
          <w:rFonts w:ascii="Calibri" w:cs="Calibri" w:eastAsia="Calibri" w:hAnsi="Calibri"/>
          <w:color w:val="475569"/>
          <w:sz w:val="22"/>
          <w:szCs w:val="22"/>
        </w:rPr>
        <w:t xml:space="preserve">Track every entry, invoice modification, trip cancellation, and payment deletion with timestamps and user IDs.</w:t>
      </w:r>
    </w:p>
    <w:p>
      <w:pPr>
        <w:pStyle w:val="ListParagraph"/>
        <w:numPr>
          <w:ilvl w:val="0"/>
          <w:numId w:val="1"/>
        </w:numPr>
        <w:spacing w:after="60" w:before="60"/>
      </w:pPr>
      <w:r>
        <w:rPr>
          <w:rFonts w:ascii="Calibri" w:cs="Calibri" w:eastAsia="Calibri" w:hAnsi="Calibri"/>
          <w:b/>
          <w:bCs/>
          <w:color w:val="0F172A"/>
          <w:sz w:val="22"/>
          <w:szCs w:val="22"/>
        </w:rPr>
        <w:t xml:space="preserve">Bank-Grade Security: </w:t>
      </w:r>
      <w:r>
        <w:rPr>
          <w:rFonts w:ascii="Calibri" w:cs="Calibri" w:eastAsia="Calibri" w:hAnsi="Calibri"/>
          <w:color w:val="475569"/>
          <w:sz w:val="22"/>
          <w:szCs w:val="22"/>
        </w:rPr>
        <w:t xml:space="preserve">BCrypt password hashing, stateless JWT authorization, and continuous database backups.</w:t>
      </w:r>
    </w:p>
    <w:p>
      <w:pPr>
        <w:pStyle w:val="Heading1"/>
        <w:spacing w:after="140" w:before="360"/>
      </w:pPr>
      <w:r>
        <w:rPr>
          <w:rFonts w:ascii="Calibri" w:cs="Calibri" w:eastAsia="Calibri" w:hAnsi="Calibri"/>
          <w:b/>
          <w:bCs/>
          <w:color w:val="1E3A8A"/>
          <w:sz w:val="30"/>
          <w:szCs w:val="30"/>
        </w:rPr>
        <w:t xml:space="preserve">5. Quantifiable Business Value &amp; ROI</w:t>
      </w:r>
    </w:p>
    <w:tbl>
      <w:tblPr>
        <w:tblW w:type="pct" w:w="5000"/>
        <w:tblBorders>
          <w:top w:val="single" w:color="CBD5E1" w:sz="4"/>
          <w:left w:val="single" w:color="CBD5E1" w:sz="4"/>
          <w:bottom w:val="single" w:color="CBD5E1" w:sz="4"/>
          <w:right w:val="single" w:color="CBD5E1" w:sz="4"/>
          <w:insideH w:val="single" w:color="E2E8F0" w:sz="4"/>
          <w:insideV w:val="single" w:color="E2E8F0" w:sz="4"/>
        </w:tblBorders>
      </w:tblPr>
      <w:tblGrid>
        <w:gridCol w:w="2708"/>
        <w:gridCol w:w="3159"/>
        <w:gridCol w:w="3159"/>
      </w:tblGrid>
      <w:tr>
        <w:tc>
          <w:tcPr>
            <w:tcW w:type="pct" w:w="1500"/>
            <w:shd w:fill="0F172A" w:val="clear"/>
            <w:tcMar>
              <w:top w:type="dxa" w:w="120"/>
              <w:left w:type="dxa" w:w="160"/>
              <w:bottom w:type="dxa" w:w="120"/>
              <w:right w:type="dxa" w:w="160"/>
            </w:tcMar>
          </w:tcPr>
          <w:p>
            <w:r>
              <w:rPr>
                <w:rFonts w:ascii="Calibri" w:cs="Calibri" w:eastAsia="Calibri" w:hAnsi="Calibri"/>
                <w:b/>
                <w:bCs/>
                <w:color w:val="FFFFFF"/>
                <w:sz w:val="21"/>
                <w:szCs w:val="21"/>
              </w:rPr>
              <w:t xml:space="preserve">Business Metric</w:t>
            </w:r>
          </w:p>
        </w:tc>
        <w:tc>
          <w:tcPr>
            <w:tcW w:type="pct" w:w="1750"/>
            <w:shd w:fill="0F172A" w:val="clear"/>
            <w:tcMar>
              <w:top w:type="dxa" w:w="120"/>
              <w:left w:type="dxa" w:w="160"/>
              <w:bottom w:type="dxa" w:w="120"/>
              <w:right w:type="dxa" w:w="160"/>
            </w:tcMar>
          </w:tcPr>
          <w:p>
            <w:r>
              <w:rPr>
                <w:rFonts w:ascii="Calibri" w:cs="Calibri" w:eastAsia="Calibri" w:hAnsi="Calibri"/>
                <w:b/>
                <w:bCs/>
                <w:color w:val="FFFFFF"/>
                <w:sz w:val="21"/>
                <w:szCs w:val="21"/>
              </w:rPr>
              <w:t xml:space="preserve">Traditional Manual Process</w:t>
            </w:r>
          </w:p>
        </w:tc>
        <w:tc>
          <w:tcPr>
            <w:tcW w:type="pct" w:w="1750"/>
            <w:shd w:fill="0F172A" w:val="clear"/>
            <w:tcMar>
              <w:top w:type="dxa" w:w="120"/>
              <w:left w:type="dxa" w:w="160"/>
              <w:bottom w:type="dxa" w:w="120"/>
              <w:right w:type="dxa" w:w="160"/>
            </w:tcMar>
          </w:tcPr>
          <w:p>
            <w:r>
              <w:rPr>
                <w:rFonts w:ascii="Calibri" w:cs="Calibri" w:eastAsia="Calibri" w:hAnsi="Calibri"/>
                <w:b/>
                <w:bCs/>
                <w:color w:val="FFFFFF"/>
                <w:sz w:val="21"/>
                <w:szCs w:val="21"/>
              </w:rPr>
              <w:t xml:space="preserve">With TransportMS (TMS)</w:t>
            </w:r>
          </w:p>
        </w:tc>
      </w:tr>
      <w:tr>
        <w:tc>
          <w:tcPr>
            <w:tcW w:type="pct" w:w="1500"/>
            <w:shd w:fill="FFFFFF" w:val="clear"/>
            <w:tcMar>
              <w:top w:type="dxa" w:w="100"/>
              <w:left w:type="dxa" w:w="160"/>
              <w:bottom w:type="dxa" w:w="100"/>
              <w:right w:type="dxa" w:w="160"/>
            </w:tcMar>
          </w:tcPr>
          <w:p>
            <w:r>
              <w:rPr>
                <w:rFonts w:ascii="Calibri" w:cs="Calibri" w:eastAsia="Calibri" w:hAnsi="Calibri"/>
                <w:b/>
                <w:bCs/>
                <w:color w:val="334155"/>
                <w:sz w:val="20"/>
                <w:szCs w:val="20"/>
              </w:rPr>
              <w:t xml:space="preserve">Trip Turnaround Time</w:t>
            </w:r>
          </w:p>
        </w:tc>
        <w:tc>
          <w:tcPr>
            <w:tcW w:type="pct" w:w="1750"/>
            <w:shd w:fill="FFFFFF" w:val="clear"/>
            <w:tcMar>
              <w:top w:type="dxa" w:w="100"/>
              <w:left w:type="dxa" w:w="160"/>
              <w:bottom w:type="dxa" w:w="100"/>
              <w:right w:type="dxa" w:w="160"/>
            </w:tcMar>
          </w:tcPr>
          <w:p>
            <w:r>
              <w:rPr>
                <w:rFonts w:ascii="Calibri" w:cs="Calibri" w:eastAsia="Calibri" w:hAnsi="Calibri"/>
                <w:b w:val="false"/>
                <w:bCs w:val="false"/>
                <w:color w:val="334155"/>
                <w:sz w:val="20"/>
                <w:szCs w:val="20"/>
              </w:rPr>
              <w:t xml:space="preserve">2 - 4 hours of phone calls and manual paper entries.</w:t>
            </w:r>
          </w:p>
        </w:tc>
        <w:tc>
          <w:tcPr>
            <w:tcW w:type="pct" w:w="1750"/>
            <w:shd w:fill="FFFFFF" w:val="clear"/>
            <w:tcMar>
              <w:top w:type="dxa" w:w="100"/>
              <w:left w:type="dxa" w:w="160"/>
              <w:bottom w:type="dxa" w:w="100"/>
              <w:right w:type="dxa" w:w="160"/>
            </w:tcMar>
          </w:tcPr>
          <w:p>
            <w:r>
              <w:rPr>
                <w:rFonts w:ascii="Calibri" w:cs="Calibri" w:eastAsia="Calibri" w:hAnsi="Calibri"/>
                <w:b w:val="false"/>
                <w:bCs w:val="false"/>
                <w:color w:val="334155"/>
                <w:sz w:val="20"/>
                <w:szCs w:val="20"/>
              </w:rPr>
              <w:t xml:space="preserve">Under 15 minutes with automated matching &amp; digital LR.</w:t>
            </w:r>
          </w:p>
        </w:tc>
      </w:tr>
      <w:tr>
        <w:tc>
          <w:tcPr>
            <w:tcW w:type="pct" w:w="1500"/>
            <w:shd w:fill="F8FAFC" w:val="clear"/>
            <w:tcMar>
              <w:top w:type="dxa" w:w="100"/>
              <w:left w:type="dxa" w:w="160"/>
              <w:bottom w:type="dxa" w:w="100"/>
              <w:right w:type="dxa" w:w="160"/>
            </w:tcMar>
          </w:tcPr>
          <w:p>
            <w:r>
              <w:rPr>
                <w:rFonts w:ascii="Calibri" w:cs="Calibri" w:eastAsia="Calibri" w:hAnsi="Calibri"/>
                <w:b/>
                <w:bCs/>
                <w:color w:val="334155"/>
                <w:sz w:val="20"/>
                <w:szCs w:val="20"/>
              </w:rPr>
              <w:t xml:space="preserve">Fuel Expenses</w:t>
            </w:r>
          </w:p>
        </w:tc>
        <w:tc>
          <w:tcPr>
            <w:tcW w:type="pct" w:w="1750"/>
            <w:shd w:fill="FFFFFF" w:val="clear"/>
            <w:tcMar>
              <w:top w:type="dxa" w:w="100"/>
              <w:left w:type="dxa" w:w="160"/>
              <w:bottom w:type="dxa" w:w="100"/>
              <w:right w:type="dxa" w:w="160"/>
            </w:tcMar>
          </w:tcPr>
          <w:p>
            <w:r>
              <w:rPr>
                <w:rFonts w:ascii="Calibri" w:cs="Calibri" w:eastAsia="Calibri" w:hAnsi="Calibri"/>
                <w:b w:val="false"/>
                <w:bCs w:val="false"/>
                <w:color w:val="334155"/>
                <w:sz w:val="20"/>
                <w:szCs w:val="20"/>
              </w:rPr>
              <w:t xml:space="preserve">Unmonitored mileage, theft, fake paper slips.</w:t>
            </w:r>
          </w:p>
        </w:tc>
        <w:tc>
          <w:tcPr>
            <w:tcW w:type="pct" w:w="1750"/>
            <w:shd w:fill="FFFFFF" w:val="clear"/>
            <w:tcMar>
              <w:top w:type="dxa" w:w="100"/>
              <w:left w:type="dxa" w:w="160"/>
              <w:bottom w:type="dxa" w:w="100"/>
              <w:right w:type="dxa" w:w="160"/>
            </w:tcMar>
          </w:tcPr>
          <w:p>
            <w:r>
              <w:rPr>
                <w:rFonts w:ascii="Calibri" w:cs="Calibri" w:eastAsia="Calibri" w:hAnsi="Calibri"/>
                <w:b w:val="false"/>
                <w:bCs w:val="false"/>
                <w:color w:val="334155"/>
                <w:sz w:val="20"/>
                <w:szCs w:val="20"/>
              </w:rPr>
              <w:t xml:space="preserve">12% - 18% cost reduction via GPS mileage audit.</w:t>
            </w:r>
          </w:p>
        </w:tc>
      </w:tr>
      <w:tr>
        <w:tc>
          <w:tcPr>
            <w:tcW w:type="pct" w:w="1500"/>
            <w:shd w:fill="FFFFFF" w:val="clear"/>
            <w:tcMar>
              <w:top w:type="dxa" w:w="100"/>
              <w:left w:type="dxa" w:w="160"/>
              <w:bottom w:type="dxa" w:w="100"/>
              <w:right w:type="dxa" w:w="160"/>
            </w:tcMar>
          </w:tcPr>
          <w:p>
            <w:r>
              <w:rPr>
                <w:rFonts w:ascii="Calibri" w:cs="Calibri" w:eastAsia="Calibri" w:hAnsi="Calibri"/>
                <w:b/>
                <w:bCs/>
                <w:color w:val="334155"/>
                <w:sz w:val="20"/>
                <w:szCs w:val="20"/>
              </w:rPr>
              <w:t xml:space="preserve">Document Compliance</w:t>
            </w:r>
          </w:p>
        </w:tc>
        <w:tc>
          <w:tcPr>
            <w:tcW w:type="pct" w:w="1750"/>
            <w:shd w:fill="FFFFFF" w:val="clear"/>
            <w:tcMar>
              <w:top w:type="dxa" w:w="100"/>
              <w:left w:type="dxa" w:w="160"/>
              <w:bottom w:type="dxa" w:w="100"/>
              <w:right w:type="dxa" w:w="160"/>
            </w:tcMar>
          </w:tcPr>
          <w:p>
            <w:r>
              <w:rPr>
                <w:rFonts w:ascii="Calibri" w:cs="Calibri" w:eastAsia="Calibri" w:hAnsi="Calibri"/>
                <w:b w:val="false"/>
                <w:bCs w:val="false"/>
                <w:color w:val="334155"/>
                <w:sz w:val="20"/>
                <w:szCs w:val="20"/>
              </w:rPr>
              <w:t xml:space="preserve">Accidental expiry causing heavy RTO highway fines.</w:t>
            </w:r>
          </w:p>
        </w:tc>
        <w:tc>
          <w:tcPr>
            <w:tcW w:type="pct" w:w="1750"/>
            <w:shd w:fill="FFFFFF" w:val="clear"/>
            <w:tcMar>
              <w:top w:type="dxa" w:w="100"/>
              <w:left w:type="dxa" w:w="160"/>
              <w:bottom w:type="dxa" w:w="100"/>
              <w:right w:type="dxa" w:w="160"/>
            </w:tcMar>
          </w:tcPr>
          <w:p>
            <w:r>
              <w:rPr>
                <w:rFonts w:ascii="Calibri" w:cs="Calibri" w:eastAsia="Calibri" w:hAnsi="Calibri"/>
                <w:b w:val="false"/>
                <w:bCs w:val="false"/>
                <w:color w:val="334155"/>
                <w:sz w:val="20"/>
                <w:szCs w:val="20"/>
              </w:rPr>
              <w:t xml:space="preserve">Zero expired trips with 30-day proactive alarms.</w:t>
            </w:r>
          </w:p>
        </w:tc>
      </w:tr>
      <w:tr>
        <w:tc>
          <w:tcPr>
            <w:tcW w:type="pct" w:w="1500"/>
            <w:shd w:fill="F8FAFC" w:val="clear"/>
            <w:tcMar>
              <w:top w:type="dxa" w:w="100"/>
              <w:left w:type="dxa" w:w="160"/>
              <w:bottom w:type="dxa" w:w="100"/>
              <w:right w:type="dxa" w:w="160"/>
            </w:tcMar>
          </w:tcPr>
          <w:p>
            <w:r>
              <w:rPr>
                <w:rFonts w:ascii="Calibri" w:cs="Calibri" w:eastAsia="Calibri" w:hAnsi="Calibri"/>
                <w:b/>
                <w:bCs/>
                <w:color w:val="334155"/>
                <w:sz w:val="20"/>
                <w:szCs w:val="20"/>
              </w:rPr>
              <w:t xml:space="preserve">Billing &amp; Invoicing</w:t>
            </w:r>
          </w:p>
        </w:tc>
        <w:tc>
          <w:tcPr>
            <w:tcW w:type="pct" w:w="1750"/>
            <w:shd w:fill="FFFFFF" w:val="clear"/>
            <w:tcMar>
              <w:top w:type="dxa" w:w="100"/>
              <w:left w:type="dxa" w:w="160"/>
              <w:bottom w:type="dxa" w:w="100"/>
              <w:right w:type="dxa" w:w="160"/>
            </w:tcMar>
          </w:tcPr>
          <w:p>
            <w:r>
              <w:rPr>
                <w:rFonts w:ascii="Calibri" w:cs="Calibri" w:eastAsia="Calibri" w:hAnsi="Calibri"/>
                <w:b w:val="false"/>
                <w:bCs w:val="false"/>
                <w:color w:val="334155"/>
                <w:sz w:val="20"/>
                <w:szCs w:val="20"/>
              </w:rPr>
              <w:t xml:space="preserve">15 - 30 days delay waiting for physical POD copies.</w:t>
            </w:r>
          </w:p>
        </w:tc>
        <w:tc>
          <w:tcPr>
            <w:tcW w:type="pct" w:w="1750"/>
            <w:shd w:fill="FFFFFF" w:val="clear"/>
            <w:tcMar>
              <w:top w:type="dxa" w:w="100"/>
              <w:left w:type="dxa" w:w="160"/>
              <w:bottom w:type="dxa" w:w="100"/>
              <w:right w:type="dxa" w:w="160"/>
            </w:tcMar>
          </w:tcPr>
          <w:p>
            <w:r>
              <w:rPr>
                <w:rFonts w:ascii="Calibri" w:cs="Calibri" w:eastAsia="Calibri" w:hAnsi="Calibri"/>
                <w:b w:val="false"/>
                <w:bCs w:val="false"/>
                <w:color w:val="334155"/>
                <w:sz w:val="20"/>
                <w:szCs w:val="20"/>
              </w:rPr>
              <w:t xml:space="preserve">Instant billing on delivery with mobile POD upload.</w:t>
            </w:r>
          </w:p>
        </w:tc>
      </w:tr>
      <w:tr>
        <w:tc>
          <w:tcPr>
            <w:tcW w:type="pct" w:w="1500"/>
            <w:shd w:fill="FFFFFF" w:val="clear"/>
            <w:tcMar>
              <w:top w:type="dxa" w:w="100"/>
              <w:left w:type="dxa" w:w="160"/>
              <w:bottom w:type="dxa" w:w="100"/>
              <w:right w:type="dxa" w:w="160"/>
            </w:tcMar>
          </w:tcPr>
          <w:p>
            <w:r>
              <w:rPr>
                <w:rFonts w:ascii="Calibri" w:cs="Calibri" w:eastAsia="Calibri" w:hAnsi="Calibri"/>
                <w:b/>
                <w:bCs/>
                <w:color w:val="334155"/>
                <w:sz w:val="20"/>
                <w:szCs w:val="20"/>
              </w:rPr>
              <w:t xml:space="preserve">Financial Visibility</w:t>
            </w:r>
          </w:p>
        </w:tc>
        <w:tc>
          <w:tcPr>
            <w:tcW w:type="pct" w:w="1750"/>
            <w:shd w:fill="FFFFFF" w:val="clear"/>
            <w:tcMar>
              <w:top w:type="dxa" w:w="100"/>
              <w:left w:type="dxa" w:w="160"/>
              <w:bottom w:type="dxa" w:w="100"/>
              <w:right w:type="dxa" w:w="160"/>
            </w:tcMar>
          </w:tcPr>
          <w:p>
            <w:r>
              <w:rPr>
                <w:rFonts w:ascii="Calibri" w:cs="Calibri" w:eastAsia="Calibri" w:hAnsi="Calibri"/>
                <w:b w:val="false"/>
                <w:bCs w:val="false"/>
                <w:color w:val="334155"/>
                <w:sz w:val="20"/>
                <w:szCs w:val="20"/>
              </w:rPr>
              <w:t xml:space="preserve">Profit calculated monthly/quarterly by CA estimation.</w:t>
            </w:r>
          </w:p>
        </w:tc>
        <w:tc>
          <w:tcPr>
            <w:tcW w:type="pct" w:w="1750"/>
            <w:shd w:fill="FFFFFF" w:val="clear"/>
            <w:tcMar>
              <w:top w:type="dxa" w:w="100"/>
              <w:left w:type="dxa" w:w="160"/>
              <w:bottom w:type="dxa" w:w="100"/>
              <w:right w:type="dxa" w:w="160"/>
            </w:tcMar>
          </w:tcPr>
          <w:p>
            <w:r>
              <w:rPr>
                <w:rFonts w:ascii="Calibri" w:cs="Calibri" w:eastAsia="Calibri" w:hAnsi="Calibri"/>
                <w:b w:val="false"/>
                <w:bCs w:val="false"/>
                <w:color w:val="334155"/>
                <w:sz w:val="20"/>
                <w:szCs w:val="20"/>
              </w:rPr>
              <w:t xml:space="preserve">Live P&amp;L available for every single truck and trip.</w:t>
            </w:r>
          </w:p>
        </w:tc>
      </w:tr>
    </w:tbl>
    <w:p>
      <w:pPr>
        <w:pStyle w:val="Heading1"/>
        <w:spacing w:after="140" w:before="360"/>
      </w:pPr>
      <w:r>
        <w:rPr>
          <w:rFonts w:ascii="Calibri" w:cs="Calibri" w:eastAsia="Calibri" w:hAnsi="Calibri"/>
          <w:b/>
          <w:bCs/>
          <w:color w:val="1E3A8A"/>
          <w:sz w:val="30"/>
          <w:szCs w:val="30"/>
        </w:rPr>
        <w:t xml:space="preserve">6. Conclusion &amp; Roadmap</w:t>
      </w:r>
    </w:p>
    <w:p>
      <w:pPr>
        <w:spacing w:after="120" w:before="80"/>
      </w:pPr>
      <w:r>
        <w:rPr>
          <w:rFonts w:ascii="Calibri" w:cs="Calibri" w:eastAsia="Calibri" w:hAnsi="Calibri"/>
          <w:color w:val="334155"/>
          <w:sz w:val="22"/>
          <w:szCs w:val="22"/>
        </w:rPr>
        <w:t xml:space="preserve">TransportMS transforms traditional, chaotic fleet businesses into efficient, transparent, data-driven powerhouses. With real-time visibility across operations, finance, and human resources, transport operators gain complete control over their bottom-line profitability and customer satisfaction.</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TransportMS (TMS) - Complete Platform &amp; Architecture Documentation</dc:title>
  <dc:creator>TransportMS Tech Team</dc:creator>
  <dc:description>Official System Specification, Operational Workflows, and Architecture Documentation</dc:description>
  <cp:lastModifiedBy>Un-named</cp:lastModifiedBy>
  <cp:revision>1</cp:revision>
  <dcterms:created xsi:type="dcterms:W3CDTF">2026-10-23T10:15:05.481Z</dcterms:created>
  <dcterms:modified xsi:type="dcterms:W3CDTF">2026-10-23T10:15:05.481Z</dcterms:modified>
</cp:coreProperties>
</file>

<file path=docProps/custom.xml><?xml version="1.0" encoding="utf-8"?>
<Properties xmlns="http://schemas.openxmlformats.org/officeDocument/2006/custom-properties" xmlns:vt="http://schemas.openxmlformats.org/officeDocument/2006/docPropsVTypes"/>
</file>