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A3836B"/>
          <w:sz w:val="18"/>
        </w:rPr>
        <w:t>TECH TOMORROW SYSTEM ARCHITECTURE SPECIFICATION</w:t>
      </w:r>
    </w:p>
    <w:p>
      <w:pPr>
        <w:pStyle w:val="Heading1"/>
      </w:pPr>
      <w:r>
        <w:rPr>
          <w:b/>
          <w:color w:val="1A1D20"/>
          <w:sz w:val="40"/>
        </w:rPr>
        <w:t>Official System Documentation</w:t>
      </w:r>
    </w:p>
    <w:p>
      <w:pPr>
        <w:pStyle w:val="Heading2"/>
      </w:pPr>
      <w:r>
        <w:rPr>
          <w:i/>
          <w:color w:val="6C757D"/>
          <w:sz w:val="24"/>
        </w:rPr>
        <w:t>The Achievements, Verification &amp; Proctoring Engine Engine Specification</w:t>
      </w:r>
    </w:p>
    <w:p>
      <w:r>
        <w:br/>
        <w:t>This core document details the platform transformation specifications migrating from standard academic grade frameworks to an elite digital credentialing engine. It contains implementation patterns for developers, database engineers, and systems operators.</w:t>
      </w:r>
    </w:p>
    <w:p>
      <w:pPr>
        <w:pStyle w:val="Heading2"/>
      </w:pPr>
      <w:r>
        <w:rPr>
          <w:color w:val="1A1D20"/>
          <w:sz w:val="26"/>
        </w:rPr>
        <w:t>1. Paradigm Shift: Grades to Achievements Engine</w:t>
      </w:r>
    </w:p>
    <w:p>
      <w:r>
        <w:t xml:space="preserve">The platform explicitly eliminates legacy GPA, grading matrices, and classroom labels to align with modern corporate verification paradigms. The Student Portal UI replaces 'Grades' entirely with the </w:t>
      </w:r>
      <w:r>
        <w:rPr>
          <w:b/>
        </w:rPr>
        <w:t>Achievements Wallet Architecture</w:t>
      </w:r>
      <w:r>
        <w:t>.</w:t>
      </w:r>
    </w:p>
    <w:p>
      <w:pPr>
        <w:pStyle w:val="ListBullet"/>
      </w:pPr>
      <w:r>
        <w:rPr>
          <w:b/>
        </w:rPr>
        <w:t xml:space="preserve">Verified Credentials Tracker: </w:t>
      </w:r>
      <w:r>
        <w:t>Replaces the GPA metric card. Dynamically aggregates verified, cryptographic hashes generated only upon completing Tier 2 assessments.</w:t>
      </w:r>
    </w:p>
    <w:p>
      <w:pPr>
        <w:pStyle w:val="ListBullet"/>
      </w:pPr>
      <w:r>
        <w:rPr>
          <w:b/>
        </w:rPr>
        <w:t xml:space="preserve">Experience Points (XP) Ledger: </w:t>
      </w:r>
      <w:r>
        <w:t>Tracks continuous engagement markers across progressive milestones (Foundations through Real-World Development).</w:t>
      </w:r>
    </w:p>
    <w:p>
      <w:pPr>
        <w:pStyle w:val="ListBullet"/>
      </w:pPr>
      <w:r>
        <w:rPr>
          <w:b/>
        </w:rPr>
        <w:t xml:space="preserve">Skill Badges Inventory: </w:t>
      </w:r>
      <w:r>
        <w:t>Displays state-bound digital achievement badges corresponding to milestone target completion.</w:t>
      </w:r>
    </w:p>
    <w:p>
      <w:pPr>
        <w:pStyle w:val="Heading2"/>
      </w:pPr>
      <w:r>
        <w:rPr>
          <w:color w:val="1A1D20"/>
          <w:sz w:val="26"/>
        </w:rPr>
        <w:t>2. The 1-Click LinkedIn Integration Pipeline</w:t>
      </w:r>
    </w:p>
    <w:p>
      <w:r>
        <w:t>To maximize student conversion and industry traction, the system uses programmatic URL parameter normalization to interface natively with the LinkedIn Add-to-Profile onboarding layout.</w:t>
      </w:r>
    </w:p>
    <w:p>
      <w:r>
        <w:t>When a credential card initializes inside the Achievements UI, an automated sharing engine populates the standard API endpoint parameters:</w:t>
      </w:r>
    </w:p>
    <w:p>
      <w:r>
        <w:t>Endpoint URL Format: https://www.linkedin.com/profile/add?startTask=CERTIFICATION_NAME</w:t>
      </w:r>
    </w:p>
    <w:p>
      <w:r>
        <w:t>The system maps the internal entity schema to these explicit pre-fill tokens dynamically:</w:t>
      </w:r>
    </w:p>
    <w:p>
      <w:pPr>
        <w:pStyle w:val="ListBullet"/>
      </w:pPr>
      <w:r>
        <w:rPr>
          <w:b/>
        </w:rPr>
        <w:t xml:space="preserve">name: </w:t>
      </w:r>
      <w:r>
        <w:t>Mapped from the path entity profile (e.g., 'Python Professional Developer').</w:t>
      </w:r>
    </w:p>
    <w:p>
      <w:pPr>
        <w:pStyle w:val="ListBullet"/>
      </w:pPr>
      <w:r>
        <w:rPr>
          <w:b/>
        </w:rPr>
        <w:t xml:space="preserve">organizationName: </w:t>
      </w:r>
      <w:r>
        <w:t>Static corporate declaration bound to 'Tech Tomorrow'.</w:t>
      </w:r>
    </w:p>
    <w:p>
      <w:pPr>
        <w:pStyle w:val="ListBullet"/>
      </w:pPr>
      <w:r>
        <w:rPr>
          <w:b/>
        </w:rPr>
        <w:t xml:space="preserve">certId: </w:t>
      </w:r>
      <w:r>
        <w:t>The runtime system string generated securely on the database layer.</w:t>
      </w:r>
    </w:p>
    <w:p>
      <w:pPr>
        <w:pStyle w:val="ListBullet"/>
      </w:pPr>
      <w:r>
        <w:rPr>
          <w:b/>
        </w:rPr>
        <w:t xml:space="preserve">certUrl: </w:t>
      </w:r>
      <w:r>
        <w:t>The immutable public verification address mapping to the platform's root directory routing handler.</w:t>
      </w:r>
    </w:p>
    <w:p>
      <w:pPr>
        <w:pStyle w:val="Heading2"/>
      </w:pPr>
      <w:r>
        <w:rPr>
          <w:color w:val="1A1D20"/>
          <w:sz w:val="26"/>
        </w:rPr>
        <w:t>3. The Cryptographic Public Verification Engine</w:t>
      </w:r>
    </w:p>
    <w:p>
      <w:r>
        <w:t>Tech Tomorrow establishes authority by serving as an un-authenticated validation endpoint for third-party operators, recruiters, and HR systems.</w:t>
      </w:r>
    </w:p>
    <w:p>
      <w:r>
        <w:t>Routing Pattern: /verify/[Credential_ID]</w:t>
      </w:r>
    </w:p>
    <w:p>
      <w:r>
        <w:t>Database Gating &amp; Controller Validation Checks:</w:t>
      </w:r>
    </w:p>
    <w:p>
      <w:pPr>
        <w:pStyle w:val="ListNumber"/>
      </w:pPr>
      <w:r>
        <w:t>The request queries the secure database session lookup using Prisma or raw SQL handlers.</w:t>
      </w:r>
    </w:p>
    <w:p>
      <w:pPr>
        <w:pStyle w:val="ListNumber"/>
      </w:pPr>
      <w:r>
        <w:t>The controller validates that the user identity matches, the timestamp parameters match, and the passing score state is verified.</w:t>
      </w:r>
    </w:p>
    <w:p>
      <w:pPr>
        <w:pStyle w:val="ListNumber"/>
      </w:pPr>
      <w:r>
        <w:t>If matched, the application parses a light-themed, high-legibility verification interface with a persistent green authenticity badge. If the payload fails parsing, a structural 404 response terminates the route.</w:t>
      </w:r>
    </w:p>
    <w:p>
      <w:pPr>
        <w:jc w:val="center"/>
      </w:pPr>
      <w:r>
        <w:br/>
        <w:t>--- DOCUMENTATION END &amp;bull; CONFIDENTIAL SPECIFICATION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D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