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2828C" w14:textId="77777777" w:rsidR="00A04AEA" w:rsidRPr="00A04AEA" w:rsidRDefault="00A04AEA" w:rsidP="00A04AEA">
      <w:pPr>
        <w:rPr>
          <w:rFonts w:cs="Segoe UI Emoji"/>
          <w:b/>
          <w:bCs/>
        </w:rPr>
      </w:pPr>
      <w:r w:rsidRPr="00A04AEA">
        <w:rPr>
          <w:rFonts w:ascii="Segoe UI Emoji" w:hAnsi="Segoe UI Emoji" w:cs="Segoe UI Emoji"/>
          <w:b/>
          <w:bCs/>
        </w:rPr>
        <w:t>📊</w:t>
      </w:r>
      <w:r w:rsidRPr="00A04AEA">
        <w:rPr>
          <w:rFonts w:cs="Segoe UI Emoji"/>
          <w:b/>
          <w:bCs/>
        </w:rPr>
        <w:t xml:space="preserve"> Project Title:</w:t>
      </w:r>
    </w:p>
    <w:p w14:paraId="7AB928F3" w14:textId="14EB681C" w:rsidR="00A04AEA" w:rsidRPr="00A04AEA" w:rsidRDefault="00A04AEA" w:rsidP="00A04AEA">
      <w:pPr>
        <w:rPr>
          <w:rFonts w:cs="Segoe UI Emoji"/>
          <w:b/>
          <w:bCs/>
        </w:rPr>
      </w:pPr>
      <w:r w:rsidRPr="00A04AEA">
        <w:rPr>
          <w:rFonts w:cs="Segoe UI Emoji"/>
          <w:b/>
          <w:bCs/>
        </w:rPr>
        <w:t>“Unequal Realities: A Quality-of-Life Dashboard for Evidence-Based Decisions in Canada”</w:t>
      </w:r>
    </w:p>
    <w:p w14:paraId="16B74056" w14:textId="77777777" w:rsidR="00A04AEA" w:rsidRDefault="008B3EF3" w:rsidP="00A04AEA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pict w14:anchorId="412A600C">
          <v:rect id="_x0000_i1025" style="width:0;height:1.5pt" o:hralign="center" o:hrstd="t" o:hr="t" fillcolor="#a0a0a0" stroked="f"/>
        </w:pict>
      </w:r>
    </w:p>
    <w:p w14:paraId="454AAF4D" w14:textId="77777777" w:rsidR="00A04AEA" w:rsidRPr="00A04AEA" w:rsidRDefault="00A04AEA" w:rsidP="00A04AEA">
      <w:pPr>
        <w:rPr>
          <w:rFonts w:cs="Segoe UI Emoji"/>
          <w:b/>
          <w:bCs/>
        </w:rPr>
      </w:pPr>
    </w:p>
    <w:p w14:paraId="0F2BE03D" w14:textId="77777777" w:rsidR="00A04AEA" w:rsidRPr="00A04AEA" w:rsidRDefault="00A04AEA" w:rsidP="00A04AEA">
      <w:pPr>
        <w:rPr>
          <w:rFonts w:cs="Segoe UI Emoji"/>
          <w:b/>
          <w:bCs/>
        </w:rPr>
      </w:pPr>
      <w:r w:rsidRPr="00A04AEA">
        <w:rPr>
          <w:rFonts w:ascii="Segoe UI Emoji" w:hAnsi="Segoe UI Emoji" w:cs="Segoe UI Emoji"/>
          <w:b/>
          <w:bCs/>
        </w:rPr>
        <w:t>📘</w:t>
      </w:r>
      <w:r w:rsidRPr="00A04AEA">
        <w:rPr>
          <w:rFonts w:cs="Segoe UI Emoji"/>
          <w:b/>
          <w:bCs/>
        </w:rPr>
        <w:t xml:space="preserve"> Narrative Overview</w:t>
      </w:r>
    </w:p>
    <w:p w14:paraId="21463218" w14:textId="77777777" w:rsidR="00A04AEA" w:rsidRPr="00A04AEA" w:rsidRDefault="00A04AEA" w:rsidP="00A04AEA">
      <w:pPr>
        <w:rPr>
          <w:rFonts w:cs="Segoe UI Emoji"/>
        </w:rPr>
      </w:pPr>
      <w:r w:rsidRPr="00A04AEA">
        <w:rPr>
          <w:rFonts w:cs="Segoe UI Emoji"/>
        </w:rPr>
        <w:t>This dashboard presents a human-centered exploration of Canada's Quality of Life, grounded in the federal framework and visualized through five key dimensions: Prosperity, Health, Society, Environment, and Good Governance.</w:t>
      </w:r>
    </w:p>
    <w:p w14:paraId="1CFC8376" w14:textId="77777777" w:rsidR="00A04AEA" w:rsidRPr="00A04AEA" w:rsidRDefault="00A04AEA" w:rsidP="00A04AEA">
      <w:pPr>
        <w:rPr>
          <w:rFonts w:cs="Segoe UI Emoji"/>
        </w:rPr>
      </w:pPr>
      <w:r w:rsidRPr="00A04AEA">
        <w:rPr>
          <w:rFonts w:cs="Segoe UI Emoji"/>
        </w:rPr>
        <w:t>Our goal is to support evidence-based decision-making by highlighting how economic hardship, mental health, social connection, perceptions of local environments, and exposure to crime and public safety concerns intersect — shaping the everyday experiences and outcomes of Canadians in the post-COVID era.</w:t>
      </w:r>
    </w:p>
    <w:p w14:paraId="1E4BF6F3" w14:textId="77777777" w:rsidR="00A04AEA" w:rsidRPr="00A04AEA" w:rsidRDefault="008B3EF3" w:rsidP="00A04AEA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pict w14:anchorId="11B37E1C">
          <v:rect id="_x0000_i1026" style="width:0;height:1.5pt" o:hralign="center" o:hrstd="t" o:hr="t" fillcolor="#a0a0a0" stroked="f"/>
        </w:pict>
      </w:r>
    </w:p>
    <w:p w14:paraId="634D7AC7" w14:textId="77777777" w:rsidR="00A04AEA" w:rsidRDefault="00A04AEA" w:rsidP="00A04AEA">
      <w:pPr>
        <w:rPr>
          <w:rFonts w:cs="Segoe UI Emoji"/>
          <w:b/>
          <w:bCs/>
        </w:rPr>
      </w:pPr>
      <w:r w:rsidRPr="00A04AEA">
        <w:rPr>
          <w:rFonts w:ascii="Segoe UI Emoji" w:hAnsi="Segoe UI Emoji" w:cs="Segoe UI Emoji"/>
          <w:b/>
          <w:bCs/>
        </w:rPr>
        <w:t>🧩</w:t>
      </w:r>
      <w:r w:rsidRPr="00A04AEA">
        <w:rPr>
          <w:rFonts w:cs="Segoe UI Emoji"/>
          <w:b/>
          <w:bCs/>
        </w:rPr>
        <w:t xml:space="preserve"> Dimension-Wise Storyline</w:t>
      </w:r>
    </w:p>
    <w:p w14:paraId="2D905B3C" w14:textId="77777777" w:rsidR="00A04AEA" w:rsidRPr="00A04AEA" w:rsidRDefault="00A04AEA" w:rsidP="00A04AEA">
      <w:pPr>
        <w:rPr>
          <w:rFonts w:cs="Segoe UI Emoji"/>
          <w:b/>
          <w:bCs/>
        </w:rPr>
      </w:pPr>
    </w:p>
    <w:p w14:paraId="2E6C0E78" w14:textId="77777777" w:rsidR="00A04AEA" w:rsidRPr="00A04AEA" w:rsidRDefault="00A04AEA" w:rsidP="00A04AEA">
      <w:pPr>
        <w:rPr>
          <w:rFonts w:cs="Segoe UI Emoji"/>
          <w:b/>
          <w:bCs/>
        </w:rPr>
      </w:pPr>
      <w:r w:rsidRPr="00A04AEA">
        <w:rPr>
          <w:rFonts w:ascii="Segoe UI Emoji" w:hAnsi="Segoe UI Emoji" w:cs="Segoe UI Emoji"/>
          <w:b/>
          <w:bCs/>
        </w:rPr>
        <w:t>🟦</w:t>
      </w:r>
      <w:r w:rsidRPr="00A04AEA">
        <w:rPr>
          <w:rFonts w:cs="Segoe UI Emoji"/>
          <w:b/>
          <w:bCs/>
        </w:rPr>
        <w:t xml:space="preserve"> Prosperity → Poverty Rate</w:t>
      </w:r>
    </w:p>
    <w:p w14:paraId="0273D3D6" w14:textId="77777777" w:rsidR="00A04AEA" w:rsidRPr="00A04AEA" w:rsidRDefault="00A04AEA" w:rsidP="00A04AEA">
      <w:pPr>
        <w:rPr>
          <w:rFonts w:cs="Segoe UI Emoji"/>
        </w:rPr>
      </w:pPr>
      <w:r w:rsidRPr="00A04AEA">
        <w:rPr>
          <w:rFonts w:cs="Segoe UI Emoji"/>
        </w:rPr>
        <w:t>We begin with the most critical economic foundation — poverty. This indicator reflects Canadians' ability to afford essential needs such as food, housing, and utilities. Economic insecurity not only affects material well-being but also limits access to health, education, and social opportunities, forming the root of many quality-of-life disparities.</w:t>
      </w:r>
    </w:p>
    <w:p w14:paraId="30925BBC" w14:textId="77777777" w:rsidR="00A04AEA" w:rsidRPr="00A04AEA" w:rsidRDefault="008B3EF3" w:rsidP="00A04AEA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pict w14:anchorId="2DF9B22B">
          <v:rect id="_x0000_i1027" style="width:0;height:1.5pt" o:hralign="center" o:hrstd="t" o:hr="t" fillcolor="#a0a0a0" stroked="f"/>
        </w:pict>
      </w:r>
    </w:p>
    <w:p w14:paraId="79D60E77" w14:textId="77777777" w:rsidR="00A04AEA" w:rsidRPr="00A04AEA" w:rsidRDefault="00A04AEA" w:rsidP="00A04AEA">
      <w:pPr>
        <w:rPr>
          <w:rFonts w:cs="Segoe UI Emoji"/>
          <w:b/>
          <w:bCs/>
        </w:rPr>
      </w:pPr>
      <w:r w:rsidRPr="00A04AEA">
        <w:rPr>
          <w:rFonts w:ascii="Segoe UI Emoji" w:hAnsi="Segoe UI Emoji" w:cs="Segoe UI Emoji"/>
          <w:b/>
          <w:bCs/>
        </w:rPr>
        <w:t>🟩</w:t>
      </w:r>
      <w:r w:rsidRPr="00A04AEA">
        <w:rPr>
          <w:rFonts w:cs="Segoe UI Emoji"/>
          <w:b/>
          <w:bCs/>
        </w:rPr>
        <w:t xml:space="preserve"> Health → Self-rated Mental Health</w:t>
      </w:r>
    </w:p>
    <w:p w14:paraId="23F5F3E7" w14:textId="77777777" w:rsidR="00A04AEA" w:rsidRPr="00A04AEA" w:rsidRDefault="00A04AEA" w:rsidP="00A04AEA">
      <w:pPr>
        <w:rPr>
          <w:rFonts w:cs="Segoe UI Emoji"/>
        </w:rPr>
      </w:pPr>
      <w:r w:rsidRPr="00A04AEA">
        <w:rPr>
          <w:rFonts w:cs="Segoe UI Emoji"/>
        </w:rPr>
        <w:t>Mental health captures how Canadians perceive their emotional and psychological well-being — a reflection of both personal experiences and broader social conditions. Financial stress, isolation, and uncertainty during the pandemic have made this indicator especially relevant in understanding post-COVID resilience and recovery.</w:t>
      </w:r>
    </w:p>
    <w:p w14:paraId="2D9AA462" w14:textId="77777777" w:rsidR="00A04AEA" w:rsidRPr="00A04AEA" w:rsidRDefault="008B3EF3" w:rsidP="00A04AEA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pict w14:anchorId="5F34E5B9">
          <v:rect id="_x0000_i1028" style="width:0;height:1.5pt" o:hralign="center" o:hrstd="t" o:hr="t" fillcolor="#a0a0a0" stroked="f"/>
        </w:pict>
      </w:r>
    </w:p>
    <w:p w14:paraId="20A117AC" w14:textId="77777777" w:rsidR="00A04AEA" w:rsidRPr="00A04AEA" w:rsidRDefault="00A04AEA" w:rsidP="00A04AEA">
      <w:pPr>
        <w:rPr>
          <w:rFonts w:cs="Segoe UI Emoji"/>
          <w:b/>
          <w:bCs/>
        </w:rPr>
      </w:pPr>
      <w:r w:rsidRPr="00A04AEA">
        <w:rPr>
          <w:rFonts w:ascii="Segoe UI Emoji" w:hAnsi="Segoe UI Emoji" w:cs="Segoe UI Emoji"/>
          <w:b/>
          <w:bCs/>
        </w:rPr>
        <w:t>🟨</w:t>
      </w:r>
      <w:r w:rsidRPr="00A04AEA">
        <w:rPr>
          <w:rFonts w:cs="Segoe UI Emoji"/>
          <w:b/>
          <w:bCs/>
        </w:rPr>
        <w:t xml:space="preserve"> Society → Sense of Belonging to Community</w:t>
      </w:r>
    </w:p>
    <w:p w14:paraId="5F15F3AE" w14:textId="77777777" w:rsidR="00A04AEA" w:rsidRPr="00A04AEA" w:rsidRDefault="00A04AEA" w:rsidP="00A04AEA">
      <w:pPr>
        <w:rPr>
          <w:rFonts w:cs="Segoe UI Emoji"/>
        </w:rPr>
      </w:pPr>
      <w:r w:rsidRPr="00A04AEA">
        <w:rPr>
          <w:rFonts w:cs="Segoe UI Emoji"/>
        </w:rPr>
        <w:t>Feeling connected to one’s community is essential for mental and emotional health. This indicator explores whether Canadians feel a strong sense of belonging — a critical component of social cohesion. When belonging is absent, individuals are more likely to experience isolation and reduced trust in others and institutions.</w:t>
      </w:r>
    </w:p>
    <w:p w14:paraId="68323E03" w14:textId="77777777" w:rsidR="00A04AEA" w:rsidRPr="00A04AEA" w:rsidRDefault="008B3EF3" w:rsidP="00A04AEA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pict w14:anchorId="0B5DDCB3">
          <v:rect id="_x0000_i1029" style="width:0;height:1.5pt" o:hralign="center" o:hrstd="t" o:hr="t" fillcolor="#a0a0a0" stroked="f"/>
        </w:pict>
      </w:r>
    </w:p>
    <w:p w14:paraId="6A81F731" w14:textId="77777777" w:rsidR="00A04AEA" w:rsidRPr="00A04AEA" w:rsidRDefault="00A04AEA" w:rsidP="00A04AEA">
      <w:pPr>
        <w:rPr>
          <w:rFonts w:cs="Segoe UI Emoji"/>
          <w:b/>
          <w:bCs/>
        </w:rPr>
      </w:pPr>
      <w:r w:rsidRPr="00A04AEA">
        <w:rPr>
          <w:rFonts w:ascii="Segoe UI Emoji" w:hAnsi="Segoe UI Emoji" w:cs="Segoe UI Emoji"/>
          <w:b/>
          <w:bCs/>
        </w:rPr>
        <w:lastRenderedPageBreak/>
        <w:t>🟧</w:t>
      </w:r>
      <w:r w:rsidRPr="00A04AEA">
        <w:rPr>
          <w:rFonts w:cs="Segoe UI Emoji"/>
          <w:b/>
          <w:bCs/>
        </w:rPr>
        <w:t xml:space="preserve"> Environment → Satisfaction with Local Environment</w:t>
      </w:r>
    </w:p>
    <w:p w14:paraId="16F5078B" w14:textId="77777777" w:rsidR="00A04AEA" w:rsidRPr="00A04AEA" w:rsidRDefault="00A04AEA" w:rsidP="00A04AEA">
      <w:pPr>
        <w:rPr>
          <w:rFonts w:cs="Segoe UI Emoji"/>
        </w:rPr>
      </w:pPr>
      <w:r w:rsidRPr="00A04AEA">
        <w:rPr>
          <w:rFonts w:cs="Segoe UI Emoji"/>
        </w:rPr>
        <w:t>The environment we live in directly shapes our quality of life. This indicator measures how satisfied Canadians are with their local surroundings — including neighborhood livability, access to green space, walkability, and general aesthetics. It highlights how place-based perceptions reflect broader equity and livability issues.</w:t>
      </w:r>
    </w:p>
    <w:p w14:paraId="512F12D2" w14:textId="77777777" w:rsidR="00A04AEA" w:rsidRPr="00A04AEA" w:rsidRDefault="008B3EF3" w:rsidP="00A04AEA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pict w14:anchorId="2AE8877C">
          <v:rect id="_x0000_i1030" style="width:0;height:1.5pt" o:hralign="center" o:hrstd="t" o:hr="t" fillcolor="#a0a0a0" stroked="f"/>
        </w:pict>
      </w:r>
    </w:p>
    <w:p w14:paraId="15F1EC64" w14:textId="77777777" w:rsidR="00A04AEA" w:rsidRPr="00A04AEA" w:rsidRDefault="00A04AEA" w:rsidP="00A04AEA">
      <w:pPr>
        <w:rPr>
          <w:rFonts w:cs="Segoe UI Emoji"/>
          <w:b/>
          <w:bCs/>
        </w:rPr>
      </w:pPr>
      <w:r w:rsidRPr="00A04AEA">
        <w:rPr>
          <w:rFonts w:ascii="Segoe UI Emoji" w:hAnsi="Segoe UI Emoji" w:cs="Segoe UI Emoji"/>
          <w:b/>
          <w:bCs/>
        </w:rPr>
        <w:t>🟥</w:t>
      </w:r>
      <w:r w:rsidRPr="00A04AEA">
        <w:rPr>
          <w:rFonts w:cs="Segoe UI Emoji"/>
          <w:b/>
          <w:bCs/>
        </w:rPr>
        <w:t xml:space="preserve"> Good Governance → Crime Severity Index</w:t>
      </w:r>
    </w:p>
    <w:p w14:paraId="7D067398" w14:textId="77777777" w:rsidR="00A04AEA" w:rsidRPr="00A04AEA" w:rsidRDefault="00A04AEA" w:rsidP="00A04AEA">
      <w:pPr>
        <w:rPr>
          <w:rFonts w:cs="Segoe UI Emoji"/>
        </w:rPr>
      </w:pPr>
      <w:r w:rsidRPr="00A04AEA">
        <w:rPr>
          <w:rFonts w:cs="Segoe UI Emoji"/>
        </w:rPr>
        <w:t>Public safety is a vital component of effective governance and trust in institutions. The Crime Severity Index provides an objective measure of both the volume and seriousness of police-reported crime. Higher crime severity can reduce neighborhood satisfaction, heighten stress, and undermine overall well-being — especially in already vulnerable communities.</w:t>
      </w:r>
    </w:p>
    <w:p w14:paraId="7B8D820E" w14:textId="77777777" w:rsidR="00A04AEA" w:rsidRPr="00A04AEA" w:rsidRDefault="008B3EF3" w:rsidP="00A04AEA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pict w14:anchorId="35A26C53">
          <v:rect id="_x0000_i1031" style="width:0;height:1.5pt" o:hralign="center" o:hrstd="t" o:hr="t" fillcolor="#a0a0a0" stroked="f"/>
        </w:pict>
      </w:r>
    </w:p>
    <w:p w14:paraId="7EC34C64" w14:textId="77777777" w:rsidR="00A04AEA" w:rsidRPr="00A04AEA" w:rsidRDefault="00A04AEA" w:rsidP="00A04AEA">
      <w:pPr>
        <w:rPr>
          <w:rFonts w:cs="Segoe UI Emoji"/>
          <w:b/>
          <w:bCs/>
        </w:rPr>
      </w:pPr>
      <w:r w:rsidRPr="00A04AEA">
        <w:rPr>
          <w:rFonts w:ascii="Segoe UI Emoji" w:hAnsi="Segoe UI Emoji" w:cs="Segoe UI Emoji"/>
          <w:b/>
          <w:bCs/>
        </w:rPr>
        <w:t>🎯</w:t>
      </w:r>
      <w:r w:rsidRPr="00A04AEA">
        <w:rPr>
          <w:rFonts w:cs="Segoe UI Emoji"/>
          <w:b/>
          <w:bCs/>
        </w:rPr>
        <w:t xml:space="preserve"> Conclusion</w:t>
      </w:r>
    </w:p>
    <w:p w14:paraId="25569B88" w14:textId="77777777" w:rsidR="00A04AEA" w:rsidRPr="00A04AEA" w:rsidRDefault="00A04AEA" w:rsidP="00A04AEA">
      <w:pPr>
        <w:rPr>
          <w:rFonts w:cs="Segoe UI Emoji"/>
        </w:rPr>
      </w:pPr>
      <w:r w:rsidRPr="00A04AEA">
        <w:rPr>
          <w:rFonts w:cs="Segoe UI Emoji"/>
        </w:rPr>
        <w:t>Rather than viewing each domain in isolation, this dashboard uncovers the interconnected nature of challenges faced by Canadians — from poverty and mental health to safety and social inclusion. It is designed as a tool for policymakers, researchers, and citizens to better understand disparities, monitor recovery, and advocate for a Canada where quality of life is truly inclusive and equitable.</w:t>
      </w:r>
    </w:p>
    <w:p w14:paraId="73812352" w14:textId="381BC5DB" w:rsidR="002B257F" w:rsidRDefault="008B3EF3" w:rsidP="002B257F">
      <w:r>
        <w:pict w14:anchorId="08D6EBAB">
          <v:rect id="_x0000_i1032" style="width:0;height:1.5pt" o:hralign="center" o:hrstd="t" o:hr="t" fillcolor="#a0a0a0" stroked="f"/>
        </w:pict>
      </w:r>
    </w:p>
    <w:p w14:paraId="413EEEFD" w14:textId="77777777" w:rsidR="001C2A9B" w:rsidRPr="004620A5" w:rsidRDefault="001C2A9B" w:rsidP="001C2A9B"/>
    <w:p w14:paraId="266330C2" w14:textId="77777777" w:rsidR="001C2A9B" w:rsidRDefault="001C2A9B" w:rsidP="001C2A9B">
      <w:pPr>
        <w:pStyle w:val="Heading1"/>
        <w:jc w:val="center"/>
      </w:pPr>
      <w:r>
        <w:t>Project timeline</w:t>
      </w:r>
    </w:p>
    <w:p w14:paraId="46525BF1" w14:textId="77777777" w:rsidR="001C2A9B" w:rsidRPr="00526CEB" w:rsidRDefault="001C2A9B" w:rsidP="001C2A9B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58"/>
        <w:gridCol w:w="2587"/>
        <w:gridCol w:w="2745"/>
        <w:gridCol w:w="2710"/>
      </w:tblGrid>
      <w:tr w:rsidR="001C2A9B" w14:paraId="59759976" w14:textId="77777777" w:rsidTr="003D5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609E01BE" w14:textId="77777777" w:rsidR="001C2A9B" w:rsidRPr="000C0512" w:rsidRDefault="001C2A9B" w:rsidP="003D5D3C">
            <w:pPr>
              <w:jc w:val="center"/>
            </w:pPr>
            <w:r w:rsidRPr="000C0512">
              <w:t>Topic</w:t>
            </w:r>
          </w:p>
        </w:tc>
        <w:tc>
          <w:tcPr>
            <w:tcW w:w="2587" w:type="dxa"/>
          </w:tcPr>
          <w:p w14:paraId="28B5C405" w14:textId="77777777" w:rsidR="001C2A9B" w:rsidRPr="000C0512" w:rsidRDefault="001C2A9B" w:rsidP="003D5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45" w:type="dxa"/>
          </w:tcPr>
          <w:p w14:paraId="602DC02B" w14:textId="77777777" w:rsidR="001C2A9B" w:rsidRPr="000C0512" w:rsidRDefault="001C2A9B" w:rsidP="003D5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0512">
              <w:t>Start</w:t>
            </w:r>
          </w:p>
        </w:tc>
        <w:tc>
          <w:tcPr>
            <w:tcW w:w="2710" w:type="dxa"/>
          </w:tcPr>
          <w:p w14:paraId="56320EFB" w14:textId="77777777" w:rsidR="001C2A9B" w:rsidRPr="000C0512" w:rsidRDefault="001C2A9B" w:rsidP="003D5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0512">
              <w:t>End</w:t>
            </w:r>
          </w:p>
        </w:tc>
      </w:tr>
      <w:tr w:rsidR="001C2A9B" w14:paraId="55234E07" w14:textId="77777777" w:rsidTr="003D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0F8D1B63" w14:textId="77777777" w:rsidR="001C2A9B" w:rsidRPr="00526CEB" w:rsidRDefault="001C2A9B" w:rsidP="003D5D3C">
            <w:pPr>
              <w:rPr>
                <w:b w:val="0"/>
                <w:bCs w:val="0"/>
              </w:rPr>
            </w:pPr>
            <w:r w:rsidRPr="00526CEB">
              <w:rPr>
                <w:b w:val="0"/>
                <w:bCs w:val="0"/>
              </w:rPr>
              <w:t>Dimension topic selection</w:t>
            </w:r>
          </w:p>
        </w:tc>
        <w:tc>
          <w:tcPr>
            <w:tcW w:w="2587" w:type="dxa"/>
          </w:tcPr>
          <w:p w14:paraId="33605E70" w14:textId="77777777" w:rsidR="001C2A9B" w:rsidRDefault="001C2A9B" w:rsidP="003D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29/03/2025</w:t>
            </w:r>
          </w:p>
        </w:tc>
        <w:tc>
          <w:tcPr>
            <w:tcW w:w="2745" w:type="dxa"/>
          </w:tcPr>
          <w:p w14:paraId="1313AE61" w14:textId="77777777" w:rsidR="001C2A9B" w:rsidRDefault="001C2A9B" w:rsidP="003D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PM</w:t>
            </w:r>
          </w:p>
        </w:tc>
        <w:tc>
          <w:tcPr>
            <w:tcW w:w="2710" w:type="dxa"/>
          </w:tcPr>
          <w:p w14:paraId="751581D9" w14:textId="77777777" w:rsidR="001C2A9B" w:rsidRDefault="001C2A9B" w:rsidP="003D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10:40 PM</w:t>
            </w:r>
          </w:p>
        </w:tc>
      </w:tr>
      <w:tr w:rsidR="001C2A9B" w14:paraId="13928B52" w14:textId="77777777" w:rsidTr="003D5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46754779" w14:textId="77777777" w:rsidR="001C2A9B" w:rsidRPr="00526CEB" w:rsidRDefault="001C2A9B" w:rsidP="003D5D3C">
            <w:pPr>
              <w:rPr>
                <w:b w:val="0"/>
                <w:bCs w:val="0"/>
              </w:rPr>
            </w:pPr>
            <w:r w:rsidRPr="00526CEB">
              <w:rPr>
                <w:b w:val="0"/>
                <w:bCs w:val="0"/>
              </w:rPr>
              <w:t>Dimension dataset selection</w:t>
            </w:r>
          </w:p>
        </w:tc>
        <w:tc>
          <w:tcPr>
            <w:tcW w:w="2587" w:type="dxa"/>
          </w:tcPr>
          <w:p w14:paraId="1C43BA23" w14:textId="77777777" w:rsidR="001C2A9B" w:rsidRDefault="001C2A9B" w:rsidP="003D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29/03/2025</w:t>
            </w:r>
          </w:p>
        </w:tc>
        <w:tc>
          <w:tcPr>
            <w:tcW w:w="2745" w:type="dxa"/>
          </w:tcPr>
          <w:p w14:paraId="6D4887A3" w14:textId="77777777" w:rsidR="001C2A9B" w:rsidRDefault="001C2A9B" w:rsidP="003D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10:45 PM</w:t>
            </w:r>
          </w:p>
        </w:tc>
        <w:tc>
          <w:tcPr>
            <w:tcW w:w="2710" w:type="dxa"/>
          </w:tcPr>
          <w:p w14:paraId="12885787" w14:textId="77777777" w:rsidR="001C2A9B" w:rsidRDefault="001C2A9B" w:rsidP="003D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 AM</w:t>
            </w:r>
          </w:p>
        </w:tc>
      </w:tr>
      <w:tr w:rsidR="001C2A9B" w14:paraId="0E4880A7" w14:textId="77777777" w:rsidTr="003D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77F781E2" w14:textId="19E37695" w:rsidR="002034F9" w:rsidRPr="002034F9" w:rsidRDefault="004E227E" w:rsidP="003D5D3C">
            <w:pPr>
              <w:rPr>
                <w:b w:val="0"/>
                <w:bCs w:val="0"/>
              </w:rPr>
            </w:pPr>
            <w:r w:rsidRPr="002034F9">
              <w:rPr>
                <w:b w:val="0"/>
                <w:bCs w:val="0"/>
              </w:rPr>
              <w:t>Data Modeling</w:t>
            </w:r>
          </w:p>
        </w:tc>
        <w:tc>
          <w:tcPr>
            <w:tcW w:w="2587" w:type="dxa"/>
          </w:tcPr>
          <w:p w14:paraId="6D3EA4AC" w14:textId="4865136B" w:rsidR="001C2A9B" w:rsidRDefault="001B4715" w:rsidP="003D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31/03/2025</w:t>
            </w:r>
          </w:p>
        </w:tc>
        <w:tc>
          <w:tcPr>
            <w:tcW w:w="2745" w:type="dxa"/>
          </w:tcPr>
          <w:p w14:paraId="17405824" w14:textId="7906F457" w:rsidR="001C2A9B" w:rsidRDefault="001B4715" w:rsidP="003D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755CB2">
              <w:t>9</w:t>
            </w:r>
            <w:r>
              <w:t>:30 PM</w:t>
            </w:r>
          </w:p>
        </w:tc>
        <w:tc>
          <w:tcPr>
            <w:tcW w:w="2710" w:type="dxa"/>
          </w:tcPr>
          <w:p w14:paraId="1A822815" w14:textId="3448D797" w:rsidR="001C2A9B" w:rsidRDefault="001B4715" w:rsidP="003D5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55CB2">
              <w:t>2</w:t>
            </w:r>
            <w:r>
              <w:t>:</w:t>
            </w:r>
            <w:r w:rsidR="00755CB2">
              <w:t>00 AM</w:t>
            </w:r>
          </w:p>
        </w:tc>
      </w:tr>
      <w:tr w:rsidR="001C2A9B" w14:paraId="58F91F7F" w14:textId="77777777" w:rsidTr="003D5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3FF174E9" w14:textId="26A546F2" w:rsidR="001C2A9B" w:rsidRPr="002A7A0C" w:rsidRDefault="002A7A0C" w:rsidP="003D5D3C">
            <w:pPr>
              <w:rPr>
                <w:b w:val="0"/>
                <w:bCs w:val="0"/>
              </w:rPr>
            </w:pPr>
            <w:r w:rsidRPr="002A7A0C">
              <w:rPr>
                <w:b w:val="0"/>
                <w:bCs w:val="0"/>
              </w:rPr>
              <w:t>DAX and Measures</w:t>
            </w:r>
          </w:p>
        </w:tc>
        <w:tc>
          <w:tcPr>
            <w:tcW w:w="2587" w:type="dxa"/>
          </w:tcPr>
          <w:p w14:paraId="2D1EDA40" w14:textId="45553015" w:rsidR="001C2A9B" w:rsidRDefault="002A7A0C" w:rsidP="003D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1/01/2025</w:t>
            </w:r>
          </w:p>
        </w:tc>
        <w:tc>
          <w:tcPr>
            <w:tcW w:w="2745" w:type="dxa"/>
          </w:tcPr>
          <w:p w14:paraId="13A7874B" w14:textId="5B09A6A5" w:rsidR="001C2A9B" w:rsidRDefault="002A7A0C" w:rsidP="003D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05:45 PM</w:t>
            </w:r>
          </w:p>
        </w:tc>
        <w:tc>
          <w:tcPr>
            <w:tcW w:w="2710" w:type="dxa"/>
          </w:tcPr>
          <w:p w14:paraId="1CFE0B02" w14:textId="77777777" w:rsidR="001C2A9B" w:rsidRDefault="001C2A9B" w:rsidP="003D5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A27D2" w14:textId="77777777" w:rsidR="001C2A9B" w:rsidRPr="00EB671E" w:rsidRDefault="001C2A9B" w:rsidP="001C2A9B"/>
    <w:p w14:paraId="7B09C7B2" w14:textId="77777777" w:rsidR="001C2A9B" w:rsidRDefault="001C2A9B" w:rsidP="002B257F"/>
    <w:p w14:paraId="0D96A68A" w14:textId="77777777" w:rsidR="008027A3" w:rsidRDefault="008027A3" w:rsidP="002B257F">
      <w:pPr>
        <w:pStyle w:val="Heading1"/>
        <w:jc w:val="center"/>
      </w:pPr>
    </w:p>
    <w:p w14:paraId="271C5562" w14:textId="77777777" w:rsidR="008027A3" w:rsidRDefault="008027A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6C1DDD0" w14:textId="677FA651" w:rsidR="002B257F" w:rsidRDefault="002B257F" w:rsidP="002B257F">
      <w:pPr>
        <w:pStyle w:val="Heading1"/>
        <w:jc w:val="center"/>
      </w:pPr>
      <w:r>
        <w:lastRenderedPageBreak/>
        <w:t>Quality of Life</w:t>
      </w:r>
    </w:p>
    <w:p w14:paraId="06676EED" w14:textId="77777777" w:rsidR="002B257F" w:rsidRPr="00DD43CE" w:rsidRDefault="002B257F" w:rsidP="002B257F">
      <w:pPr>
        <w:pStyle w:val="Heading2"/>
      </w:pPr>
      <w:r>
        <w:t>Prosperity:</w:t>
      </w:r>
    </w:p>
    <w:p w14:paraId="49171F09" w14:textId="5205EAC0" w:rsidR="002B257F" w:rsidRDefault="002B257F" w:rsidP="002B257F">
      <w:pPr>
        <w:pStyle w:val="Heading3"/>
      </w:pPr>
      <w:r w:rsidRPr="00F716EE">
        <w:t>Economic security and deprivation</w:t>
      </w:r>
      <w:r>
        <w:t xml:space="preserve">: </w:t>
      </w:r>
      <w:r w:rsidRPr="00F716EE">
        <w:t>Poverty</w:t>
      </w:r>
    </w:p>
    <w:p w14:paraId="75296C78" w14:textId="7711AD13" w:rsidR="004D7864" w:rsidRPr="004D7864" w:rsidRDefault="00D06FB0" w:rsidP="004D7864">
      <w:r w:rsidRPr="00D06FB0">
        <w:rPr>
          <w:rFonts w:ascii="Segoe UI Emoji" w:hAnsi="Segoe UI Emoji" w:cs="Segoe UI Emoji"/>
        </w:rPr>
        <w:t>📌</w:t>
      </w:r>
      <w:r w:rsidRPr="00D06FB0">
        <w:t xml:space="preserve"> </w:t>
      </w:r>
      <w:r w:rsidRPr="00D06FB0">
        <w:rPr>
          <w:b/>
          <w:bCs/>
        </w:rPr>
        <w:t xml:space="preserve">11-10-0135-01 – </w:t>
      </w:r>
      <w:proofErr w:type="gramStart"/>
      <w:r w:rsidRPr="00D06FB0">
        <w:rPr>
          <w:b/>
          <w:bCs/>
        </w:rPr>
        <w:t>Low income</w:t>
      </w:r>
      <w:proofErr w:type="gramEnd"/>
      <w:r w:rsidRPr="00D06FB0">
        <w:rPr>
          <w:b/>
          <w:bCs/>
        </w:rPr>
        <w:t xml:space="preserve"> statistics by age, sex and economic family type</w:t>
      </w:r>
    </w:p>
    <w:p w14:paraId="58092FDF" w14:textId="113C3FB7" w:rsidR="00CA125E" w:rsidRDefault="00CA125E" w:rsidP="00CA125E">
      <w:hyperlink r:id="rId5" w:history="1">
        <w:r w:rsidRPr="00CA125E">
          <w:rPr>
            <w:rStyle w:val="Hyperlink"/>
          </w:rPr>
          <w:t>https://www150.statcan.gc.ca/t1/tbl1/en/tv.action?pid=1110013501</w:t>
        </w:r>
      </w:hyperlink>
    </w:p>
    <w:p w14:paraId="170E8B2B" w14:textId="77777777" w:rsidR="002B257F" w:rsidRDefault="002B257F" w:rsidP="002B257F"/>
    <w:p w14:paraId="23FD9D81" w14:textId="77777777" w:rsidR="002B257F" w:rsidRDefault="002B257F" w:rsidP="002B257F">
      <w:pPr>
        <w:pStyle w:val="Heading2"/>
      </w:pPr>
      <w:r>
        <w:t>Health:</w:t>
      </w:r>
    </w:p>
    <w:p w14:paraId="53903022" w14:textId="19410DCD" w:rsidR="002B257F" w:rsidRDefault="002B257F" w:rsidP="002B257F">
      <w:pPr>
        <w:pStyle w:val="Heading3"/>
      </w:pPr>
      <w:r>
        <w:t>Healthy people: Self-rated mental health</w:t>
      </w:r>
    </w:p>
    <w:p w14:paraId="6F71CFE3" w14:textId="3079BA70" w:rsidR="00D06FB0" w:rsidRPr="00D06FB0" w:rsidRDefault="00D06FB0" w:rsidP="00D06FB0">
      <w:r w:rsidRPr="00D06FB0">
        <w:rPr>
          <w:rFonts w:ascii="Segoe UI Emoji" w:hAnsi="Segoe UI Emoji" w:cs="Segoe UI Emoji"/>
        </w:rPr>
        <w:t>📌</w:t>
      </w:r>
      <w:r w:rsidRPr="00D06FB0">
        <w:t xml:space="preserve"> </w:t>
      </w:r>
      <w:r w:rsidRPr="00D06FB0">
        <w:rPr>
          <w:b/>
          <w:bCs/>
        </w:rPr>
        <w:t>13-10-0096-03 – Perceived mental health, by age group</w:t>
      </w:r>
      <w:r w:rsidR="00BB1EEE">
        <w:rPr>
          <w:b/>
          <w:bCs/>
        </w:rPr>
        <w:t xml:space="preserve"> and province</w:t>
      </w:r>
    </w:p>
    <w:p w14:paraId="70CAA733" w14:textId="1BA3DAD6" w:rsidR="00CA125E" w:rsidRDefault="008F5332" w:rsidP="00CA125E">
      <w:hyperlink r:id="rId6" w:history="1">
        <w:r w:rsidRPr="008F5332">
          <w:rPr>
            <w:rStyle w:val="Hyperlink"/>
          </w:rPr>
          <w:t>https://www150.statcan.gc.ca/t1/tbl1/en/tv.action?pid=1310009603</w:t>
        </w:r>
      </w:hyperlink>
    </w:p>
    <w:p w14:paraId="5D93731F" w14:textId="77777777" w:rsidR="002B257F" w:rsidRDefault="002B257F" w:rsidP="002B257F"/>
    <w:p w14:paraId="7CB4663E" w14:textId="77777777" w:rsidR="002B257F" w:rsidRPr="004A105F" w:rsidRDefault="002B257F" w:rsidP="002B257F">
      <w:pPr>
        <w:rPr>
          <w:vanish/>
        </w:rPr>
      </w:pPr>
    </w:p>
    <w:p w14:paraId="2FC34DA3" w14:textId="77777777" w:rsidR="002B257F" w:rsidRPr="0077298B" w:rsidRDefault="002B257F" w:rsidP="002B257F">
      <w:pPr>
        <w:pStyle w:val="Heading2"/>
      </w:pPr>
      <w:r>
        <w:t>Society:</w:t>
      </w:r>
    </w:p>
    <w:p w14:paraId="72863C74" w14:textId="7437A42A" w:rsidR="002B257F" w:rsidRDefault="002B257F" w:rsidP="002B257F">
      <w:pPr>
        <w:pStyle w:val="Heading3"/>
      </w:pPr>
      <w:r w:rsidRPr="0077298B">
        <w:t>Social cohesion and connections: Sense of belonging to local communit</w:t>
      </w:r>
      <w:r w:rsidR="00245560">
        <w:t>y</w:t>
      </w:r>
    </w:p>
    <w:p w14:paraId="79430AD1" w14:textId="5E1AEFE0" w:rsidR="00005FE7" w:rsidRPr="00D326FD" w:rsidRDefault="00005FE7" w:rsidP="00005FE7">
      <w:pPr>
        <w:rPr>
          <w:b/>
          <w:bCs/>
        </w:rPr>
      </w:pPr>
      <w:r w:rsidRPr="00005FE7">
        <w:rPr>
          <w:rFonts w:ascii="Segoe UI Emoji" w:hAnsi="Segoe UI Emoji" w:cs="Segoe UI Emoji"/>
        </w:rPr>
        <w:t>📌</w:t>
      </w:r>
      <w:r w:rsidRPr="00005FE7">
        <w:t xml:space="preserve"> </w:t>
      </w:r>
      <w:r w:rsidR="00D326FD">
        <w:rPr>
          <w:b/>
          <w:bCs/>
        </w:rPr>
        <w:t>45</w:t>
      </w:r>
      <w:r w:rsidRPr="00005FE7">
        <w:rPr>
          <w:b/>
          <w:bCs/>
        </w:rPr>
        <w:t>-10-00</w:t>
      </w:r>
      <w:r w:rsidR="00D326FD">
        <w:rPr>
          <w:b/>
          <w:bCs/>
        </w:rPr>
        <w:t>52</w:t>
      </w:r>
      <w:r w:rsidRPr="00005FE7">
        <w:rPr>
          <w:b/>
          <w:bCs/>
        </w:rPr>
        <w:t>-</w:t>
      </w:r>
      <w:r w:rsidR="00D326FD">
        <w:rPr>
          <w:b/>
          <w:bCs/>
        </w:rPr>
        <w:t>0</w:t>
      </w:r>
      <w:r w:rsidRPr="00005FE7">
        <w:rPr>
          <w:b/>
          <w:bCs/>
        </w:rPr>
        <w:t xml:space="preserve">1 – </w:t>
      </w:r>
      <w:r w:rsidR="00D326FD" w:rsidRPr="00D326FD">
        <w:rPr>
          <w:b/>
          <w:bCs/>
        </w:rPr>
        <w:t>Sense of belonging to local community by gender and province</w:t>
      </w:r>
    </w:p>
    <w:p w14:paraId="7065C591" w14:textId="59F386C3" w:rsidR="008F5332" w:rsidRDefault="00EA10C0" w:rsidP="008F5332">
      <w:hyperlink r:id="rId7" w:history="1">
        <w:r w:rsidRPr="00EA10C0">
          <w:rPr>
            <w:rStyle w:val="Hyperlink"/>
          </w:rPr>
          <w:t>https://www150.statcan.gc.ca/t1/tbl1/en/tv.action?pid=1310009615</w:t>
        </w:r>
      </w:hyperlink>
    </w:p>
    <w:p w14:paraId="1279FA0D" w14:textId="77777777" w:rsidR="00D326FD" w:rsidRDefault="00D326FD" w:rsidP="008F5332"/>
    <w:p w14:paraId="41C55344" w14:textId="6CC4FB14" w:rsidR="002B257F" w:rsidRDefault="002B257F" w:rsidP="002B257F">
      <w:pPr>
        <w:pStyle w:val="Heading2"/>
      </w:pPr>
      <w:r>
        <w:t>Environment:</w:t>
      </w:r>
    </w:p>
    <w:p w14:paraId="4A1821E2" w14:textId="5A93D841" w:rsidR="002B257F" w:rsidRDefault="002B257F" w:rsidP="002B257F">
      <w:pPr>
        <w:pStyle w:val="Heading3"/>
      </w:pPr>
      <w:r w:rsidRPr="00275045">
        <w:t xml:space="preserve">Environment and People: </w:t>
      </w:r>
      <w:r w:rsidR="00D41501">
        <w:t>Satisfaction with local environments</w:t>
      </w:r>
    </w:p>
    <w:p w14:paraId="31C3AC7E" w14:textId="16C5C5DE" w:rsidR="00005FE7" w:rsidRPr="00005FE7" w:rsidRDefault="00005FE7" w:rsidP="00005FE7">
      <w:r w:rsidRPr="00005FE7">
        <w:rPr>
          <w:rFonts w:ascii="Segoe UI Emoji" w:hAnsi="Segoe UI Emoji" w:cs="Segoe UI Emoji"/>
        </w:rPr>
        <w:t>📌</w:t>
      </w:r>
      <w:r w:rsidRPr="00005FE7">
        <w:t xml:space="preserve"> </w:t>
      </w:r>
      <w:r w:rsidRPr="00005FE7">
        <w:rPr>
          <w:b/>
          <w:bCs/>
        </w:rPr>
        <w:t xml:space="preserve">45-10-0070-01 – Satisfaction with local environment, by gender and </w:t>
      </w:r>
      <w:r w:rsidR="00B25667">
        <w:rPr>
          <w:b/>
          <w:bCs/>
        </w:rPr>
        <w:t>province</w:t>
      </w:r>
    </w:p>
    <w:p w14:paraId="5F1BDFE8" w14:textId="0C46CB06" w:rsidR="00005FE7" w:rsidRDefault="00D41501" w:rsidP="002B257F">
      <w:hyperlink r:id="rId8" w:history="1">
        <w:r w:rsidRPr="00D41501">
          <w:rPr>
            <w:rStyle w:val="Hyperlink"/>
          </w:rPr>
          <w:t>https://www150.statcan.gc.ca/t1/tbl1/en/tv.action?pid=4510007001</w:t>
        </w:r>
      </w:hyperlink>
    </w:p>
    <w:p w14:paraId="27B91D31" w14:textId="77777777" w:rsidR="008A3FA6" w:rsidRDefault="008A3FA6" w:rsidP="002B257F"/>
    <w:p w14:paraId="059F9EDE" w14:textId="2DC96F5A" w:rsidR="002B257F" w:rsidRPr="00F050A4" w:rsidRDefault="00A1030D" w:rsidP="002B257F">
      <w:pPr>
        <w:pStyle w:val="Heading2"/>
      </w:pPr>
      <w:r>
        <w:t>Good Governance</w:t>
      </w:r>
      <w:r w:rsidR="002B257F">
        <w:t>:</w:t>
      </w:r>
    </w:p>
    <w:p w14:paraId="579E50F0" w14:textId="4D6E78D9" w:rsidR="002B257F" w:rsidRDefault="00506F70" w:rsidP="002B257F">
      <w:pPr>
        <w:pStyle w:val="Heading3"/>
      </w:pPr>
      <w:r>
        <w:t>Safety</w:t>
      </w:r>
      <w:r w:rsidR="002B257F" w:rsidRPr="009F2678">
        <w:t xml:space="preserve"> a</w:t>
      </w:r>
      <w:r>
        <w:t>nd Security</w:t>
      </w:r>
      <w:r w:rsidR="002B257F">
        <w:t>:</w:t>
      </w:r>
      <w:r w:rsidR="002B257F" w:rsidRPr="009F2678">
        <w:t xml:space="preserve"> </w:t>
      </w:r>
      <w:r>
        <w:t>Crime Severity Index</w:t>
      </w:r>
    </w:p>
    <w:p w14:paraId="0396270E" w14:textId="5C51CE02" w:rsidR="00005FE7" w:rsidRPr="009560ED" w:rsidRDefault="00005FE7" w:rsidP="00005FE7">
      <w:pPr>
        <w:rPr>
          <w:b/>
          <w:bCs/>
        </w:rPr>
      </w:pPr>
      <w:r w:rsidRPr="00005FE7">
        <w:rPr>
          <w:rFonts w:ascii="Segoe UI Emoji" w:hAnsi="Segoe UI Emoji" w:cs="Segoe UI Emoji"/>
        </w:rPr>
        <w:t>📌</w:t>
      </w:r>
      <w:r w:rsidRPr="00005FE7">
        <w:t xml:space="preserve"> </w:t>
      </w:r>
      <w:hyperlink r:id="rId9" w:history="1">
        <w:r w:rsidR="009560ED" w:rsidRPr="009560ED">
          <w:rPr>
            <w:rStyle w:val="Hyperlink"/>
            <w:b/>
            <w:bCs/>
            <w:color w:val="000000" w:themeColor="text1"/>
            <w:u w:val="none"/>
          </w:rPr>
          <w:t>35-10-0026-01 – Crime severity index and weighted clearance rates, Canada, provinces, territories and Census Metropolitan Areas</w:t>
        </w:r>
      </w:hyperlink>
    </w:p>
    <w:p w14:paraId="31BE8B8E" w14:textId="584B212F" w:rsidR="004620A5" w:rsidRDefault="00216C34" w:rsidP="004620A5">
      <w:hyperlink r:id="rId10" w:history="1">
        <w:r>
          <w:rPr>
            <w:rStyle w:val="Hyperlink"/>
          </w:rPr>
          <w:t>https://www150.statcan.gc.ca/t1/tbl1/en/tv.action?pid=3510002601</w:t>
        </w:r>
      </w:hyperlink>
    </w:p>
    <w:p w14:paraId="4B74E504" w14:textId="78D4FD31" w:rsidR="000C0512" w:rsidRDefault="000C0512" w:rsidP="001C2A9B"/>
    <w:p w14:paraId="178F6596" w14:textId="4BFD775F" w:rsidR="00F60F66" w:rsidRPr="00F60F66" w:rsidRDefault="00F60F66" w:rsidP="0025095A">
      <w:pPr>
        <w:pStyle w:val="Heading1"/>
      </w:pPr>
      <w:r w:rsidRPr="00F60F66">
        <w:lastRenderedPageBreak/>
        <w:t>Data Dictionary</w:t>
      </w:r>
    </w:p>
    <w:p w14:paraId="6B74D7BB" w14:textId="77777777" w:rsidR="00F60F66" w:rsidRDefault="00F60F66" w:rsidP="001C2A9B"/>
    <w:p w14:paraId="18FEFB5C" w14:textId="7338F751" w:rsidR="00F80FE3" w:rsidRDefault="000C74C7" w:rsidP="0025095A">
      <w:pPr>
        <w:pStyle w:val="Heading2"/>
      </w:pPr>
      <w:proofErr w:type="spellStart"/>
      <w:r>
        <w:t>fact</w:t>
      </w:r>
      <w:r w:rsidRPr="0025095A">
        <w:rPr>
          <w:rStyle w:val="Heading2Char"/>
        </w:rPr>
        <w:t>_</w:t>
      </w:r>
      <w:r>
        <w:t>Environment</w:t>
      </w:r>
      <w:proofErr w:type="spellEnd"/>
      <w:r>
        <w:t>:</w:t>
      </w:r>
    </w:p>
    <w:p w14:paraId="006A89B4" w14:textId="4038347A" w:rsidR="000C74C7" w:rsidRDefault="000C74C7" w:rsidP="009F2A4C">
      <w:pPr>
        <w:pStyle w:val="ListParagraph"/>
        <w:numPr>
          <w:ilvl w:val="0"/>
          <w:numId w:val="5"/>
        </w:numPr>
      </w:pPr>
      <w:r>
        <w:t>Date</w:t>
      </w:r>
    </w:p>
    <w:p w14:paraId="4A05FF46" w14:textId="7C745847" w:rsidR="000C74C7" w:rsidRDefault="009F2A4C" w:rsidP="009F2A4C">
      <w:pPr>
        <w:pStyle w:val="ListParagraph"/>
        <w:numPr>
          <w:ilvl w:val="0"/>
          <w:numId w:val="5"/>
        </w:numPr>
      </w:pPr>
      <w:proofErr w:type="spellStart"/>
      <w:r>
        <w:t>Gender_ID</w:t>
      </w:r>
      <w:proofErr w:type="spellEnd"/>
    </w:p>
    <w:p w14:paraId="2779E478" w14:textId="1DC54B2A" w:rsidR="009F2A4C" w:rsidRDefault="009E50AC" w:rsidP="009F2A4C">
      <w:pPr>
        <w:pStyle w:val="ListParagraph"/>
        <w:numPr>
          <w:ilvl w:val="0"/>
          <w:numId w:val="5"/>
        </w:numPr>
      </w:pPr>
      <w:proofErr w:type="spellStart"/>
      <w:r>
        <w:t>Indicator_ID</w:t>
      </w:r>
      <w:proofErr w:type="spellEnd"/>
    </w:p>
    <w:p w14:paraId="5CA4F625" w14:textId="54BCDBBB" w:rsidR="009E50AC" w:rsidRDefault="009E50AC" w:rsidP="009E50AC">
      <w:pPr>
        <w:pStyle w:val="ListParagraph"/>
        <w:numPr>
          <w:ilvl w:val="0"/>
          <w:numId w:val="5"/>
        </w:numPr>
      </w:pPr>
      <w:proofErr w:type="spellStart"/>
      <w:r>
        <w:t>Region_ID</w:t>
      </w:r>
      <w:proofErr w:type="spellEnd"/>
    </w:p>
    <w:p w14:paraId="667BC36F" w14:textId="511473FB" w:rsidR="009E50AC" w:rsidRDefault="009E50AC" w:rsidP="009E50AC">
      <w:pPr>
        <w:pStyle w:val="ListParagraph"/>
        <w:numPr>
          <w:ilvl w:val="0"/>
          <w:numId w:val="5"/>
        </w:numPr>
      </w:pPr>
      <w:proofErr w:type="spellStart"/>
      <w:r>
        <w:t>Unit_ID</w:t>
      </w:r>
      <w:proofErr w:type="spellEnd"/>
    </w:p>
    <w:p w14:paraId="093BBB45" w14:textId="065CF9ED" w:rsidR="009E50AC" w:rsidRDefault="009E50AC" w:rsidP="009E50AC">
      <w:pPr>
        <w:pStyle w:val="ListParagraph"/>
        <w:numPr>
          <w:ilvl w:val="0"/>
          <w:numId w:val="5"/>
        </w:numPr>
      </w:pPr>
      <w:r>
        <w:t>Value</w:t>
      </w:r>
    </w:p>
    <w:p w14:paraId="0BD3AA07" w14:textId="77777777" w:rsidR="009E50AC" w:rsidRDefault="009E50AC" w:rsidP="009E50AC"/>
    <w:p w14:paraId="1EA27E20" w14:textId="4C62E696" w:rsidR="000C39BF" w:rsidRDefault="009E50AC" w:rsidP="008B1580">
      <w:pPr>
        <w:pStyle w:val="Heading2"/>
      </w:pPr>
      <w:proofErr w:type="spellStart"/>
      <w:r>
        <w:t>fact_Society</w:t>
      </w:r>
      <w:proofErr w:type="spellEnd"/>
      <w:r w:rsidR="000C39BF">
        <w:t>:</w:t>
      </w:r>
    </w:p>
    <w:p w14:paraId="2F04F44F" w14:textId="77777777" w:rsidR="00F60F66" w:rsidRDefault="00F60F66" w:rsidP="00F60F66">
      <w:pPr>
        <w:pStyle w:val="ListParagraph"/>
        <w:numPr>
          <w:ilvl w:val="0"/>
          <w:numId w:val="5"/>
        </w:numPr>
      </w:pPr>
      <w:r>
        <w:t>Date</w:t>
      </w:r>
    </w:p>
    <w:p w14:paraId="6C1D4B18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Gender_ID</w:t>
      </w:r>
      <w:proofErr w:type="spellEnd"/>
    </w:p>
    <w:p w14:paraId="3AD6D41A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Indicator_ID</w:t>
      </w:r>
      <w:proofErr w:type="spellEnd"/>
    </w:p>
    <w:p w14:paraId="5E93B100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Region_ID</w:t>
      </w:r>
      <w:proofErr w:type="spellEnd"/>
    </w:p>
    <w:p w14:paraId="62FA38BF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Unit_ID</w:t>
      </w:r>
      <w:proofErr w:type="spellEnd"/>
    </w:p>
    <w:p w14:paraId="345FD8DF" w14:textId="77777777" w:rsidR="00F60F66" w:rsidRDefault="00F60F66" w:rsidP="00F60F66">
      <w:pPr>
        <w:pStyle w:val="ListParagraph"/>
        <w:numPr>
          <w:ilvl w:val="0"/>
          <w:numId w:val="5"/>
        </w:numPr>
      </w:pPr>
      <w:r>
        <w:t>Value</w:t>
      </w:r>
    </w:p>
    <w:p w14:paraId="20F9ECFA" w14:textId="77777777" w:rsidR="00F60F66" w:rsidRDefault="00F60F66" w:rsidP="009E50AC"/>
    <w:p w14:paraId="0C3D90FB" w14:textId="203E9388" w:rsidR="000C39BF" w:rsidRDefault="00FF1692" w:rsidP="008B1580">
      <w:pPr>
        <w:pStyle w:val="Heading2"/>
        <w:rPr>
          <w:lang w:val="en-US"/>
        </w:rPr>
      </w:pPr>
      <w:proofErr w:type="spellStart"/>
      <w:r>
        <w:rPr>
          <w:lang w:val="en-US"/>
        </w:rPr>
        <w:t>fact_Health</w:t>
      </w:r>
      <w:proofErr w:type="spellEnd"/>
      <w:r>
        <w:rPr>
          <w:lang w:val="en-US"/>
        </w:rPr>
        <w:t>:</w:t>
      </w:r>
    </w:p>
    <w:p w14:paraId="0D99D54B" w14:textId="3A5B9D02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Age_Group_ID</w:t>
      </w:r>
      <w:proofErr w:type="spellEnd"/>
    </w:p>
    <w:p w14:paraId="42E99CD7" w14:textId="55D954DF" w:rsidR="00F60F66" w:rsidRDefault="00F60F66" w:rsidP="00F60F66">
      <w:pPr>
        <w:pStyle w:val="ListParagraph"/>
        <w:numPr>
          <w:ilvl w:val="0"/>
          <w:numId w:val="5"/>
        </w:numPr>
      </w:pPr>
      <w:r>
        <w:t>Date</w:t>
      </w:r>
    </w:p>
    <w:p w14:paraId="1732BC00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Gender_ID</w:t>
      </w:r>
      <w:proofErr w:type="spellEnd"/>
    </w:p>
    <w:p w14:paraId="106301F4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Indicator_ID</w:t>
      </w:r>
      <w:proofErr w:type="spellEnd"/>
    </w:p>
    <w:p w14:paraId="414E98BA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Region_ID</w:t>
      </w:r>
      <w:proofErr w:type="spellEnd"/>
    </w:p>
    <w:p w14:paraId="7F45DC0D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Unit_ID</w:t>
      </w:r>
      <w:proofErr w:type="spellEnd"/>
    </w:p>
    <w:p w14:paraId="3617DFAD" w14:textId="77777777" w:rsidR="00F60F66" w:rsidRDefault="00F60F66" w:rsidP="00F60F66">
      <w:pPr>
        <w:pStyle w:val="ListParagraph"/>
        <w:numPr>
          <w:ilvl w:val="0"/>
          <w:numId w:val="5"/>
        </w:numPr>
      </w:pPr>
      <w:r>
        <w:t>Value</w:t>
      </w:r>
    </w:p>
    <w:p w14:paraId="0436BC7C" w14:textId="77777777" w:rsidR="00F60F66" w:rsidRDefault="00F60F66" w:rsidP="009E50AC">
      <w:pPr>
        <w:rPr>
          <w:lang w:val="en-US"/>
        </w:rPr>
      </w:pPr>
    </w:p>
    <w:p w14:paraId="117CCBA3" w14:textId="29FB6095" w:rsidR="00FF1692" w:rsidRDefault="00FF1692" w:rsidP="008B1580">
      <w:pPr>
        <w:pStyle w:val="Heading2"/>
        <w:rPr>
          <w:lang w:val="en-US"/>
        </w:rPr>
      </w:pPr>
      <w:proofErr w:type="spellStart"/>
      <w:r>
        <w:rPr>
          <w:lang w:val="en-US"/>
        </w:rPr>
        <w:t>fact_Prosperity</w:t>
      </w:r>
      <w:proofErr w:type="spellEnd"/>
      <w:r>
        <w:rPr>
          <w:lang w:val="en-US"/>
        </w:rPr>
        <w:t>:</w:t>
      </w:r>
    </w:p>
    <w:p w14:paraId="78A9F343" w14:textId="09B56D1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Age_Group_ID</w:t>
      </w:r>
      <w:proofErr w:type="spellEnd"/>
    </w:p>
    <w:p w14:paraId="7DF96C2E" w14:textId="67A32406" w:rsidR="00F60F66" w:rsidRDefault="00F60F66" w:rsidP="00F60F66">
      <w:pPr>
        <w:pStyle w:val="ListParagraph"/>
        <w:numPr>
          <w:ilvl w:val="0"/>
          <w:numId w:val="5"/>
        </w:numPr>
      </w:pPr>
      <w:r>
        <w:t>Date</w:t>
      </w:r>
    </w:p>
    <w:p w14:paraId="64B81F30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Gender_ID</w:t>
      </w:r>
      <w:proofErr w:type="spellEnd"/>
    </w:p>
    <w:p w14:paraId="069165A8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Indicator_ID</w:t>
      </w:r>
      <w:proofErr w:type="spellEnd"/>
    </w:p>
    <w:p w14:paraId="12F5A31E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Region_ID</w:t>
      </w:r>
      <w:proofErr w:type="spellEnd"/>
    </w:p>
    <w:p w14:paraId="747F7B81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Unit_ID</w:t>
      </w:r>
      <w:proofErr w:type="spellEnd"/>
    </w:p>
    <w:p w14:paraId="59B1FA40" w14:textId="77777777" w:rsidR="00F60F66" w:rsidRDefault="00F60F66" w:rsidP="00F60F66">
      <w:pPr>
        <w:pStyle w:val="ListParagraph"/>
        <w:numPr>
          <w:ilvl w:val="0"/>
          <w:numId w:val="5"/>
        </w:numPr>
      </w:pPr>
      <w:r>
        <w:lastRenderedPageBreak/>
        <w:t>Value</w:t>
      </w:r>
    </w:p>
    <w:p w14:paraId="5E2CF680" w14:textId="77777777" w:rsidR="00F60F66" w:rsidRDefault="00F60F66" w:rsidP="009E50AC">
      <w:pPr>
        <w:rPr>
          <w:lang w:val="en-US"/>
        </w:rPr>
      </w:pPr>
    </w:p>
    <w:p w14:paraId="5B1C7DD1" w14:textId="5D347A79" w:rsidR="00FF1692" w:rsidRDefault="00FF1692" w:rsidP="008B1580">
      <w:pPr>
        <w:pStyle w:val="Heading2"/>
        <w:rPr>
          <w:lang w:val="en-US"/>
        </w:rPr>
      </w:pPr>
      <w:proofErr w:type="spellStart"/>
      <w:r>
        <w:rPr>
          <w:lang w:val="en-US"/>
        </w:rPr>
        <w:t>fact_Good_Governance</w:t>
      </w:r>
      <w:proofErr w:type="spellEnd"/>
      <w:r w:rsidR="00F60F66">
        <w:rPr>
          <w:lang w:val="en-US"/>
        </w:rPr>
        <w:t>:</w:t>
      </w:r>
    </w:p>
    <w:p w14:paraId="0F845C94" w14:textId="77777777" w:rsidR="00F60F66" w:rsidRDefault="00F60F66" w:rsidP="00F60F66">
      <w:pPr>
        <w:pStyle w:val="ListParagraph"/>
        <w:numPr>
          <w:ilvl w:val="0"/>
          <w:numId w:val="5"/>
        </w:numPr>
      </w:pPr>
      <w:r>
        <w:t>Date</w:t>
      </w:r>
    </w:p>
    <w:p w14:paraId="30928317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Indicator_ID</w:t>
      </w:r>
      <w:proofErr w:type="spellEnd"/>
    </w:p>
    <w:p w14:paraId="7FBBE13E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Region_ID</w:t>
      </w:r>
      <w:proofErr w:type="spellEnd"/>
    </w:p>
    <w:p w14:paraId="65BD0A32" w14:textId="77777777" w:rsidR="00F60F66" w:rsidRDefault="00F60F66" w:rsidP="00F60F66">
      <w:pPr>
        <w:pStyle w:val="ListParagraph"/>
        <w:numPr>
          <w:ilvl w:val="0"/>
          <w:numId w:val="5"/>
        </w:numPr>
      </w:pPr>
      <w:proofErr w:type="spellStart"/>
      <w:r>
        <w:t>Unit_ID</w:t>
      </w:r>
      <w:proofErr w:type="spellEnd"/>
    </w:p>
    <w:p w14:paraId="203D17FA" w14:textId="77777777" w:rsidR="00F60F66" w:rsidRDefault="00F60F66" w:rsidP="00F60F66">
      <w:pPr>
        <w:pStyle w:val="ListParagraph"/>
        <w:numPr>
          <w:ilvl w:val="0"/>
          <w:numId w:val="5"/>
        </w:numPr>
      </w:pPr>
      <w:r>
        <w:t>Value</w:t>
      </w:r>
    </w:p>
    <w:p w14:paraId="43BAFEDD" w14:textId="77777777" w:rsidR="00C04292" w:rsidRDefault="00C04292" w:rsidP="00C04292"/>
    <w:p w14:paraId="64E40CBE" w14:textId="2BAE65E7" w:rsidR="00C04292" w:rsidRDefault="002E5F79" w:rsidP="008B1580">
      <w:pPr>
        <w:pStyle w:val="Heading2"/>
      </w:pPr>
      <w:proofErr w:type="spellStart"/>
      <w:r>
        <w:t>d</w:t>
      </w:r>
      <w:r w:rsidR="00C04292">
        <w:t>im_Unit</w:t>
      </w:r>
      <w:proofErr w:type="spellEnd"/>
      <w:r>
        <w:t>:</w:t>
      </w:r>
    </w:p>
    <w:p w14:paraId="22A8AC0D" w14:textId="73427820" w:rsidR="002E5F79" w:rsidRDefault="002E5F79" w:rsidP="002E5F79">
      <w:pPr>
        <w:pStyle w:val="ListParagraph"/>
        <w:numPr>
          <w:ilvl w:val="0"/>
          <w:numId w:val="6"/>
        </w:numPr>
      </w:pPr>
      <w:r>
        <w:t>Unit</w:t>
      </w:r>
    </w:p>
    <w:p w14:paraId="2AA25AF9" w14:textId="47197F28" w:rsidR="002E5F79" w:rsidRDefault="002E5F79" w:rsidP="002E5F79">
      <w:pPr>
        <w:pStyle w:val="ListParagraph"/>
        <w:numPr>
          <w:ilvl w:val="0"/>
          <w:numId w:val="6"/>
        </w:numPr>
      </w:pPr>
      <w:proofErr w:type="spellStart"/>
      <w:r>
        <w:t>Unit_ID</w:t>
      </w:r>
      <w:proofErr w:type="spellEnd"/>
    </w:p>
    <w:p w14:paraId="6E488F61" w14:textId="77777777" w:rsidR="002E5F79" w:rsidRDefault="002E5F79" w:rsidP="002E5F79"/>
    <w:p w14:paraId="24AEE626" w14:textId="3DCA11DA" w:rsidR="002E5F79" w:rsidRDefault="002E5F79" w:rsidP="008B1580">
      <w:pPr>
        <w:pStyle w:val="Heading2"/>
      </w:pPr>
      <w:proofErr w:type="spellStart"/>
      <w:r>
        <w:t>dim_Region</w:t>
      </w:r>
      <w:proofErr w:type="spellEnd"/>
      <w:r>
        <w:t>:</w:t>
      </w:r>
    </w:p>
    <w:p w14:paraId="1AD7F3FB" w14:textId="193DF5AA" w:rsidR="002E5F79" w:rsidRDefault="00331B84" w:rsidP="00331B84">
      <w:pPr>
        <w:pStyle w:val="ListParagraph"/>
        <w:numPr>
          <w:ilvl w:val="0"/>
          <w:numId w:val="7"/>
        </w:numPr>
      </w:pPr>
      <w:r>
        <w:t>Region</w:t>
      </w:r>
    </w:p>
    <w:p w14:paraId="7CAFCAE6" w14:textId="0D670845" w:rsidR="00331B84" w:rsidRDefault="00331B84" w:rsidP="00331B84">
      <w:pPr>
        <w:pStyle w:val="ListParagraph"/>
        <w:numPr>
          <w:ilvl w:val="0"/>
          <w:numId w:val="7"/>
        </w:numPr>
      </w:pPr>
      <w:proofErr w:type="spellStart"/>
      <w:r>
        <w:t>Region_ID</w:t>
      </w:r>
      <w:proofErr w:type="spellEnd"/>
    </w:p>
    <w:p w14:paraId="627F0101" w14:textId="77777777" w:rsidR="00331B84" w:rsidRDefault="00331B84" w:rsidP="00331B84"/>
    <w:p w14:paraId="3C566D09" w14:textId="27AA7AB8" w:rsidR="00331B84" w:rsidRDefault="00331B84" w:rsidP="008B1580">
      <w:pPr>
        <w:pStyle w:val="Heading2"/>
      </w:pPr>
      <w:proofErr w:type="spellStart"/>
      <w:r>
        <w:t>dim_Gender</w:t>
      </w:r>
      <w:proofErr w:type="spellEnd"/>
    </w:p>
    <w:p w14:paraId="7F9EF32F" w14:textId="46C85FA7" w:rsidR="00331B84" w:rsidRDefault="00331B84" w:rsidP="00331B84">
      <w:pPr>
        <w:pStyle w:val="ListParagraph"/>
        <w:numPr>
          <w:ilvl w:val="0"/>
          <w:numId w:val="8"/>
        </w:numPr>
      </w:pPr>
      <w:r>
        <w:t>Gender</w:t>
      </w:r>
    </w:p>
    <w:p w14:paraId="7A2ADD4D" w14:textId="0E0BA684" w:rsidR="00331B84" w:rsidRDefault="00331B84" w:rsidP="00331B84">
      <w:pPr>
        <w:pStyle w:val="ListParagraph"/>
        <w:numPr>
          <w:ilvl w:val="0"/>
          <w:numId w:val="8"/>
        </w:numPr>
      </w:pPr>
      <w:proofErr w:type="spellStart"/>
      <w:r>
        <w:t>Gender_ID</w:t>
      </w:r>
      <w:proofErr w:type="spellEnd"/>
    </w:p>
    <w:p w14:paraId="1B4CFD7D" w14:textId="77777777" w:rsidR="00331B84" w:rsidRDefault="00331B84" w:rsidP="00331B84"/>
    <w:p w14:paraId="6A545126" w14:textId="32FAD3D1" w:rsidR="00331B84" w:rsidRDefault="00331B84" w:rsidP="008B1580">
      <w:pPr>
        <w:pStyle w:val="Heading2"/>
      </w:pPr>
      <w:proofErr w:type="spellStart"/>
      <w:r>
        <w:t>dim_Calendar_Table</w:t>
      </w:r>
      <w:proofErr w:type="spellEnd"/>
      <w:r w:rsidR="0025095A">
        <w:t>:</w:t>
      </w:r>
    </w:p>
    <w:p w14:paraId="2E72355F" w14:textId="3028A60C" w:rsidR="00331B84" w:rsidRDefault="0025095A" w:rsidP="0025095A">
      <w:pPr>
        <w:pStyle w:val="ListParagraph"/>
        <w:numPr>
          <w:ilvl w:val="0"/>
          <w:numId w:val="9"/>
        </w:numPr>
      </w:pPr>
      <w:r>
        <w:t>Date</w:t>
      </w:r>
    </w:p>
    <w:p w14:paraId="48BC979D" w14:textId="0C2304B8" w:rsidR="0025095A" w:rsidRDefault="0025095A" w:rsidP="0025095A">
      <w:pPr>
        <w:pStyle w:val="ListParagraph"/>
        <w:numPr>
          <w:ilvl w:val="0"/>
          <w:numId w:val="9"/>
        </w:numPr>
      </w:pPr>
      <w:r>
        <w:t>Day</w:t>
      </w:r>
    </w:p>
    <w:p w14:paraId="4349F3BA" w14:textId="77777777" w:rsidR="0025095A" w:rsidRDefault="0025095A" w:rsidP="0025095A">
      <w:pPr>
        <w:pStyle w:val="ListParagraph"/>
        <w:numPr>
          <w:ilvl w:val="0"/>
          <w:numId w:val="9"/>
        </w:numPr>
      </w:pPr>
      <w:r>
        <w:t>Month</w:t>
      </w:r>
    </w:p>
    <w:p w14:paraId="41DEB959" w14:textId="77777777" w:rsidR="0025095A" w:rsidRDefault="0025095A" w:rsidP="0025095A">
      <w:pPr>
        <w:pStyle w:val="ListParagraph"/>
        <w:numPr>
          <w:ilvl w:val="0"/>
          <w:numId w:val="9"/>
        </w:numPr>
      </w:pPr>
      <w:proofErr w:type="spellStart"/>
      <w:r>
        <w:t>Month_Num</w:t>
      </w:r>
      <w:proofErr w:type="spellEnd"/>
    </w:p>
    <w:p w14:paraId="48CB3DF0" w14:textId="77777777" w:rsidR="00C54173" w:rsidRDefault="0025095A" w:rsidP="0025095A">
      <w:pPr>
        <w:pStyle w:val="ListParagraph"/>
        <w:numPr>
          <w:ilvl w:val="0"/>
          <w:numId w:val="9"/>
        </w:numPr>
      </w:pPr>
      <w:proofErr w:type="spellStart"/>
      <w:r>
        <w:t>Quarter_Num</w:t>
      </w:r>
      <w:proofErr w:type="spellEnd"/>
    </w:p>
    <w:p w14:paraId="6412FBBF" w14:textId="77777777" w:rsidR="00C54173" w:rsidRDefault="0025095A" w:rsidP="00C54173">
      <w:pPr>
        <w:pStyle w:val="ListParagraph"/>
        <w:numPr>
          <w:ilvl w:val="0"/>
          <w:numId w:val="9"/>
        </w:numPr>
      </w:pPr>
      <w:r>
        <w:t>Week</w:t>
      </w:r>
    </w:p>
    <w:p w14:paraId="0013546B" w14:textId="77777777" w:rsidR="00C54173" w:rsidRDefault="0025095A" w:rsidP="00C54173">
      <w:pPr>
        <w:pStyle w:val="ListParagraph"/>
        <w:numPr>
          <w:ilvl w:val="0"/>
          <w:numId w:val="9"/>
        </w:numPr>
      </w:pPr>
      <w:proofErr w:type="spellStart"/>
      <w:r>
        <w:t>Week_Day</w:t>
      </w:r>
      <w:proofErr w:type="spellEnd"/>
    </w:p>
    <w:p w14:paraId="2816479A" w14:textId="77777777" w:rsidR="00C54173" w:rsidRDefault="0025095A" w:rsidP="00C54173">
      <w:pPr>
        <w:pStyle w:val="ListParagraph"/>
        <w:numPr>
          <w:ilvl w:val="0"/>
          <w:numId w:val="9"/>
        </w:numPr>
      </w:pPr>
      <w:proofErr w:type="spellStart"/>
      <w:r>
        <w:t>Week_Num</w:t>
      </w:r>
      <w:proofErr w:type="spellEnd"/>
    </w:p>
    <w:p w14:paraId="3C0503E1" w14:textId="5792716D" w:rsidR="0025095A" w:rsidRDefault="0025095A" w:rsidP="00C54173">
      <w:pPr>
        <w:pStyle w:val="ListParagraph"/>
        <w:numPr>
          <w:ilvl w:val="0"/>
          <w:numId w:val="9"/>
        </w:numPr>
      </w:pPr>
      <w:r>
        <w:t>Year</w:t>
      </w:r>
    </w:p>
    <w:p w14:paraId="09AAAEF9" w14:textId="77777777" w:rsidR="0025095A" w:rsidRDefault="0025095A" w:rsidP="0025095A">
      <w:pPr>
        <w:pStyle w:val="NoSpacing"/>
      </w:pPr>
    </w:p>
    <w:p w14:paraId="570697CF" w14:textId="77777777" w:rsidR="0025095A" w:rsidRDefault="0025095A" w:rsidP="0025095A">
      <w:pPr>
        <w:pStyle w:val="NoSpacing"/>
      </w:pPr>
    </w:p>
    <w:p w14:paraId="6C0928A4" w14:textId="31FA078B" w:rsidR="002E5F79" w:rsidRDefault="00D8718D" w:rsidP="00157FE5">
      <w:pPr>
        <w:pStyle w:val="Heading2"/>
      </w:pPr>
      <w:proofErr w:type="spellStart"/>
      <w:r>
        <w:lastRenderedPageBreak/>
        <w:t>dim_Indicator</w:t>
      </w:r>
      <w:proofErr w:type="spellEnd"/>
      <w:r w:rsidR="00165945">
        <w:t>:</w:t>
      </w:r>
    </w:p>
    <w:p w14:paraId="1E665D4C" w14:textId="50291A8C" w:rsidR="00D8718D" w:rsidRDefault="00D8718D" w:rsidP="002244CD">
      <w:pPr>
        <w:pStyle w:val="ListParagraph"/>
        <w:numPr>
          <w:ilvl w:val="0"/>
          <w:numId w:val="10"/>
        </w:numPr>
      </w:pPr>
      <w:r>
        <w:t>Indicator</w:t>
      </w:r>
    </w:p>
    <w:p w14:paraId="2BB72350" w14:textId="77777777" w:rsidR="00D8718D" w:rsidRDefault="00D8718D" w:rsidP="002E5F79"/>
    <w:p w14:paraId="4308BD3A" w14:textId="67D5370A" w:rsidR="00D8718D" w:rsidRPr="00165945" w:rsidRDefault="00D8718D" w:rsidP="00157FE5">
      <w:pPr>
        <w:pStyle w:val="Heading2"/>
      </w:pPr>
      <w:proofErr w:type="spellStart"/>
      <w:r w:rsidRPr="00165945">
        <w:t>indicator</w:t>
      </w:r>
      <w:r w:rsidR="00B32CD0" w:rsidRPr="00165945">
        <w:t>_Environment</w:t>
      </w:r>
      <w:proofErr w:type="spellEnd"/>
      <w:r w:rsidR="00165945" w:rsidRPr="00165945">
        <w:t>:</w:t>
      </w:r>
    </w:p>
    <w:p w14:paraId="281136DD" w14:textId="77777777" w:rsidR="00165945" w:rsidRDefault="00165945" w:rsidP="00AF31D6">
      <w:pPr>
        <w:pStyle w:val="ListParagraph"/>
        <w:numPr>
          <w:ilvl w:val="0"/>
          <w:numId w:val="10"/>
        </w:numPr>
      </w:pPr>
      <w:r>
        <w:t>Indicator</w:t>
      </w:r>
    </w:p>
    <w:p w14:paraId="6444377A" w14:textId="77777777" w:rsidR="00165945" w:rsidRPr="00165945" w:rsidRDefault="00165945" w:rsidP="002E5F79"/>
    <w:p w14:paraId="7CDCCEE8" w14:textId="79AD6840" w:rsidR="00B32CD0" w:rsidRDefault="00B32CD0" w:rsidP="00157FE5">
      <w:pPr>
        <w:pStyle w:val="Heading2"/>
      </w:pPr>
      <w:proofErr w:type="spellStart"/>
      <w:r w:rsidRPr="00B32CD0">
        <w:t>indicator_Good_Go</w:t>
      </w:r>
      <w:r>
        <w:t>vernance</w:t>
      </w:r>
      <w:proofErr w:type="spellEnd"/>
      <w:r w:rsidR="00165945">
        <w:t>:</w:t>
      </w:r>
    </w:p>
    <w:p w14:paraId="5379390A" w14:textId="77777777" w:rsidR="00165945" w:rsidRDefault="00165945" w:rsidP="00AF31D6">
      <w:pPr>
        <w:pStyle w:val="ListParagraph"/>
        <w:numPr>
          <w:ilvl w:val="0"/>
          <w:numId w:val="10"/>
        </w:numPr>
      </w:pPr>
      <w:r>
        <w:t>Indicator</w:t>
      </w:r>
    </w:p>
    <w:p w14:paraId="24E3D543" w14:textId="77777777" w:rsidR="00165945" w:rsidRPr="00B32CD0" w:rsidRDefault="00165945" w:rsidP="00B32CD0"/>
    <w:p w14:paraId="78F16603" w14:textId="0C85557E" w:rsidR="00B32CD0" w:rsidRDefault="00B32CD0" w:rsidP="00157FE5">
      <w:pPr>
        <w:pStyle w:val="Heading2"/>
      </w:pPr>
      <w:proofErr w:type="spellStart"/>
      <w:r w:rsidRPr="00B32CD0">
        <w:t>indicator_</w:t>
      </w:r>
      <w:r>
        <w:t>Health</w:t>
      </w:r>
      <w:proofErr w:type="spellEnd"/>
      <w:r w:rsidR="00165945">
        <w:t>:</w:t>
      </w:r>
    </w:p>
    <w:p w14:paraId="55F3E246" w14:textId="77777777" w:rsidR="00165945" w:rsidRDefault="00165945" w:rsidP="00AF31D6">
      <w:pPr>
        <w:pStyle w:val="ListParagraph"/>
        <w:numPr>
          <w:ilvl w:val="0"/>
          <w:numId w:val="10"/>
        </w:numPr>
      </w:pPr>
      <w:r>
        <w:t>Indicator</w:t>
      </w:r>
    </w:p>
    <w:p w14:paraId="75AF0230" w14:textId="77777777" w:rsidR="00165945" w:rsidRPr="00B32CD0" w:rsidRDefault="00165945" w:rsidP="00B32CD0"/>
    <w:p w14:paraId="7F5C2B19" w14:textId="722D6829" w:rsidR="00B32CD0" w:rsidRDefault="00B32CD0" w:rsidP="00157FE5">
      <w:pPr>
        <w:pStyle w:val="Heading2"/>
      </w:pPr>
      <w:proofErr w:type="spellStart"/>
      <w:r>
        <w:t>indicator_Prosperity</w:t>
      </w:r>
      <w:proofErr w:type="spellEnd"/>
      <w:r w:rsidR="00165945">
        <w:t>:</w:t>
      </w:r>
    </w:p>
    <w:p w14:paraId="0AB1D078" w14:textId="77777777" w:rsidR="00165945" w:rsidRDefault="00165945" w:rsidP="00AF31D6">
      <w:pPr>
        <w:pStyle w:val="ListParagraph"/>
        <w:numPr>
          <w:ilvl w:val="0"/>
          <w:numId w:val="10"/>
        </w:numPr>
      </w:pPr>
      <w:r>
        <w:t>Indicator</w:t>
      </w:r>
    </w:p>
    <w:p w14:paraId="657D1595" w14:textId="77777777" w:rsidR="00165945" w:rsidRDefault="00165945" w:rsidP="00B32CD0"/>
    <w:p w14:paraId="2B5BEFDE" w14:textId="5301DF3C" w:rsidR="00B32CD0" w:rsidRDefault="00B32CD0" w:rsidP="00157FE5">
      <w:pPr>
        <w:pStyle w:val="Heading2"/>
      </w:pPr>
      <w:proofErr w:type="spellStart"/>
      <w:r>
        <w:t>indicator_Society</w:t>
      </w:r>
      <w:proofErr w:type="spellEnd"/>
      <w:r w:rsidR="00165945">
        <w:t>:</w:t>
      </w:r>
    </w:p>
    <w:p w14:paraId="6488996C" w14:textId="77777777" w:rsidR="00165945" w:rsidRDefault="00165945" w:rsidP="00AF31D6">
      <w:pPr>
        <w:pStyle w:val="ListParagraph"/>
        <w:numPr>
          <w:ilvl w:val="0"/>
          <w:numId w:val="10"/>
        </w:numPr>
      </w:pPr>
      <w:r>
        <w:t>Indicator</w:t>
      </w:r>
    </w:p>
    <w:p w14:paraId="202D6479" w14:textId="77777777" w:rsidR="00165945" w:rsidRDefault="00165945" w:rsidP="00165945"/>
    <w:p w14:paraId="6F48EC3F" w14:textId="4B275F6E" w:rsidR="00165945" w:rsidRDefault="00165945" w:rsidP="00157FE5">
      <w:pPr>
        <w:pStyle w:val="Heading2"/>
      </w:pPr>
      <w:proofErr w:type="spellStart"/>
      <w:r>
        <w:t>dim_</w:t>
      </w:r>
      <w:r w:rsidR="00A266FB">
        <w:t>Age_Group</w:t>
      </w:r>
      <w:proofErr w:type="spellEnd"/>
      <w:r w:rsidR="00A266FB">
        <w:t>:</w:t>
      </w:r>
    </w:p>
    <w:p w14:paraId="423650E3" w14:textId="2BB83035" w:rsidR="00A266FB" w:rsidRDefault="00A266FB" w:rsidP="00AF31D6">
      <w:pPr>
        <w:pStyle w:val="ListParagraph"/>
        <w:numPr>
          <w:ilvl w:val="0"/>
          <w:numId w:val="10"/>
        </w:numPr>
      </w:pPr>
      <w:r>
        <w:t>Age</w:t>
      </w:r>
      <w:r w:rsidR="007B266B">
        <w:t xml:space="preserve"> group</w:t>
      </w:r>
    </w:p>
    <w:p w14:paraId="492ECCC6" w14:textId="43E3C86D" w:rsidR="007B266B" w:rsidRDefault="007B266B" w:rsidP="00AF31D6">
      <w:pPr>
        <w:pStyle w:val="ListParagraph"/>
        <w:numPr>
          <w:ilvl w:val="0"/>
          <w:numId w:val="10"/>
        </w:numPr>
      </w:pPr>
      <w:proofErr w:type="spellStart"/>
      <w:r>
        <w:t>Age_Group_ID</w:t>
      </w:r>
      <w:proofErr w:type="spellEnd"/>
    </w:p>
    <w:p w14:paraId="3D3A0F90" w14:textId="77777777" w:rsidR="007B266B" w:rsidRDefault="007B266B" w:rsidP="00165945"/>
    <w:p w14:paraId="6FC9F9E5" w14:textId="399C4EA0" w:rsidR="007B266B" w:rsidRDefault="007B266B" w:rsidP="00157FE5">
      <w:pPr>
        <w:pStyle w:val="Heading2"/>
      </w:pPr>
      <w:proofErr w:type="spellStart"/>
      <w:r>
        <w:t>dim_</w:t>
      </w:r>
      <w:r w:rsidR="00C47A82">
        <w:t>group_Prosperi</w:t>
      </w:r>
      <w:r w:rsidR="00863C87">
        <w:t>ty</w:t>
      </w:r>
      <w:proofErr w:type="spellEnd"/>
      <w:r>
        <w:t>:</w:t>
      </w:r>
    </w:p>
    <w:p w14:paraId="3284B815" w14:textId="77777777" w:rsidR="007B266B" w:rsidRDefault="007B266B" w:rsidP="00AF31D6">
      <w:pPr>
        <w:pStyle w:val="ListParagraph"/>
        <w:numPr>
          <w:ilvl w:val="0"/>
          <w:numId w:val="11"/>
        </w:numPr>
      </w:pPr>
      <w:r>
        <w:t>Age group</w:t>
      </w:r>
    </w:p>
    <w:p w14:paraId="735A269F" w14:textId="77777777" w:rsidR="00165945" w:rsidRDefault="00165945" w:rsidP="00B32CD0"/>
    <w:p w14:paraId="7773E8F1" w14:textId="10459A36" w:rsidR="007B266B" w:rsidRDefault="007B266B" w:rsidP="00157FE5">
      <w:pPr>
        <w:pStyle w:val="Heading2"/>
      </w:pPr>
      <w:r>
        <w:t>dim_</w:t>
      </w:r>
      <w:r w:rsidR="00863C87" w:rsidRPr="00863C87">
        <w:t xml:space="preserve"> </w:t>
      </w:r>
      <w:proofErr w:type="spellStart"/>
      <w:r w:rsidR="00863C87">
        <w:t>group</w:t>
      </w:r>
      <w:r>
        <w:t>_</w:t>
      </w:r>
      <w:r w:rsidR="00863C87">
        <w:t>Health</w:t>
      </w:r>
      <w:proofErr w:type="spellEnd"/>
      <w:r>
        <w:t>:</w:t>
      </w:r>
    </w:p>
    <w:p w14:paraId="34BC5964" w14:textId="77777777" w:rsidR="007B266B" w:rsidRDefault="007B266B" w:rsidP="00AF31D6">
      <w:pPr>
        <w:pStyle w:val="ListParagraph"/>
        <w:numPr>
          <w:ilvl w:val="0"/>
          <w:numId w:val="11"/>
        </w:numPr>
      </w:pPr>
      <w:r>
        <w:t>Age group</w:t>
      </w:r>
    </w:p>
    <w:p w14:paraId="5DD354B9" w14:textId="77777777" w:rsidR="0045395B" w:rsidRDefault="0045395B" w:rsidP="007B266B"/>
    <w:p w14:paraId="5F0425B0" w14:textId="79A43AA8" w:rsidR="0045395B" w:rsidRDefault="0045395B" w:rsidP="00157FE5">
      <w:pPr>
        <w:pStyle w:val="Heading2"/>
      </w:pPr>
      <w:proofErr w:type="spellStart"/>
      <w:r>
        <w:lastRenderedPageBreak/>
        <w:t>dim_Scalar_Multiplier</w:t>
      </w:r>
      <w:proofErr w:type="spellEnd"/>
      <w:r>
        <w:t>:</w:t>
      </w:r>
    </w:p>
    <w:p w14:paraId="3EDFE8DE" w14:textId="66DDA657" w:rsidR="002244CD" w:rsidRDefault="002244CD" w:rsidP="00AF31D6">
      <w:pPr>
        <w:pStyle w:val="ListParagraph"/>
        <w:numPr>
          <w:ilvl w:val="0"/>
          <w:numId w:val="11"/>
        </w:numPr>
      </w:pPr>
      <w:r>
        <w:t>Multiplier</w:t>
      </w:r>
    </w:p>
    <w:p w14:paraId="0E9B7F45" w14:textId="10B5B0FD" w:rsidR="002244CD" w:rsidRDefault="002244CD" w:rsidP="00AF31D6">
      <w:pPr>
        <w:pStyle w:val="ListParagraph"/>
        <w:numPr>
          <w:ilvl w:val="0"/>
          <w:numId w:val="11"/>
        </w:numPr>
      </w:pPr>
      <w:proofErr w:type="spellStart"/>
      <w:r>
        <w:t>Scalar_ID</w:t>
      </w:r>
      <w:proofErr w:type="spellEnd"/>
    </w:p>
    <w:p w14:paraId="7A5E90A5" w14:textId="7FF9FC7B" w:rsidR="002E5F79" w:rsidRPr="00B32CD0" w:rsidRDefault="002E5F79" w:rsidP="002E5F79"/>
    <w:p w14:paraId="3143C25E" w14:textId="77777777" w:rsidR="00F60F66" w:rsidRDefault="00F60F66" w:rsidP="009E50AC"/>
    <w:p w14:paraId="5B59F580" w14:textId="2730CD36" w:rsidR="00B144FD" w:rsidRDefault="00B144FD" w:rsidP="00B144FD">
      <w:pPr>
        <w:pStyle w:val="Heading1"/>
        <w:jc w:val="center"/>
      </w:pPr>
      <w:r>
        <w:t>Measures</w:t>
      </w:r>
    </w:p>
    <w:p w14:paraId="3D0110B8" w14:textId="77777777" w:rsidR="00417A55" w:rsidRDefault="00417A55" w:rsidP="00417A55">
      <w:pPr>
        <w:rPr>
          <w:b/>
          <w:bCs/>
        </w:rPr>
      </w:pPr>
      <w:r w:rsidRPr="00417A55">
        <w:rPr>
          <w:rFonts w:ascii="Segoe UI Emoji" w:hAnsi="Segoe UI Emoji" w:cs="Segoe UI Emoji"/>
          <w:b/>
          <w:bCs/>
        </w:rPr>
        <w:t>✅</w:t>
      </w:r>
      <w:r w:rsidRPr="00417A55">
        <w:rPr>
          <w:b/>
          <w:bCs/>
        </w:rPr>
        <w:t xml:space="preserve"> 1. % Change in Index (KPI)</w:t>
      </w:r>
    </w:p>
    <w:p w14:paraId="3D9EDDF8" w14:textId="77777777" w:rsidR="00417A55" w:rsidRPr="00655441" w:rsidRDefault="00417A55" w:rsidP="00417A55">
      <w:pPr>
        <w:spacing w:after="0" w:line="240" w:lineRule="auto"/>
      </w:pPr>
      <w:r w:rsidRPr="00655441">
        <w:t xml:space="preserve">% Change in Index (KPI) = </w:t>
      </w:r>
    </w:p>
    <w:p w14:paraId="12B644FE" w14:textId="77777777" w:rsidR="00417A55" w:rsidRPr="00655441" w:rsidRDefault="00417A55" w:rsidP="00417A55">
      <w:pPr>
        <w:spacing w:after="0" w:line="240" w:lineRule="auto"/>
      </w:pPr>
      <w:r w:rsidRPr="00655441">
        <w:t xml:space="preserve">VAR Value2022 = </w:t>
      </w:r>
    </w:p>
    <w:p w14:paraId="75818C34" w14:textId="77777777" w:rsidR="00417A55" w:rsidRPr="00655441" w:rsidRDefault="00417A55" w:rsidP="00417A55">
      <w:pPr>
        <w:spacing w:after="0" w:line="240" w:lineRule="auto"/>
      </w:pPr>
      <w:r w:rsidRPr="00655441">
        <w:t xml:space="preserve">    </w:t>
      </w:r>
      <w:proofErr w:type="gramStart"/>
      <w:r w:rsidRPr="00655441">
        <w:t>CALCULATE(</w:t>
      </w:r>
      <w:proofErr w:type="gramEnd"/>
    </w:p>
    <w:p w14:paraId="05EC8F1F" w14:textId="77777777" w:rsidR="00417A55" w:rsidRPr="00655441" w:rsidRDefault="00417A55" w:rsidP="00417A55">
      <w:pPr>
        <w:spacing w:after="0" w:line="240" w:lineRule="auto"/>
      </w:pPr>
      <w:r w:rsidRPr="00655441">
        <w:t xml:space="preserve">        </w:t>
      </w:r>
      <w:proofErr w:type="gramStart"/>
      <w:r w:rsidRPr="00655441">
        <w:t>SUM(</w:t>
      </w:r>
      <w:proofErr w:type="spellStart"/>
      <w:proofErr w:type="gramEnd"/>
      <w:r w:rsidRPr="00655441">
        <w:t>fact_Governance</w:t>
      </w:r>
      <w:proofErr w:type="spellEnd"/>
      <w:r w:rsidRPr="00655441">
        <w:t>[Value]),</w:t>
      </w:r>
    </w:p>
    <w:p w14:paraId="5F3B3ED9" w14:textId="77777777" w:rsidR="00417A55" w:rsidRPr="00655441" w:rsidRDefault="00417A55" w:rsidP="00417A55">
      <w:pPr>
        <w:spacing w:after="0" w:line="240" w:lineRule="auto"/>
      </w:pPr>
      <w:r w:rsidRPr="00655441">
        <w:t xml:space="preserve">        </w:t>
      </w:r>
      <w:proofErr w:type="spellStart"/>
      <w:r w:rsidRPr="00655441">
        <w:t>fact_</w:t>
      </w:r>
      <w:proofErr w:type="gramStart"/>
      <w:r w:rsidRPr="00655441">
        <w:t>Governance</w:t>
      </w:r>
      <w:proofErr w:type="spellEnd"/>
      <w:r w:rsidRPr="00655441">
        <w:t>[</w:t>
      </w:r>
      <w:proofErr w:type="gramEnd"/>
      <w:r w:rsidRPr="00655441">
        <w:t>Date] = 2022</w:t>
      </w:r>
    </w:p>
    <w:p w14:paraId="7EE6F993" w14:textId="77777777" w:rsidR="00417A55" w:rsidRPr="00655441" w:rsidRDefault="00417A55" w:rsidP="00417A55">
      <w:pPr>
        <w:spacing w:after="0" w:line="240" w:lineRule="auto"/>
      </w:pPr>
      <w:r w:rsidRPr="00655441">
        <w:t>    )</w:t>
      </w:r>
    </w:p>
    <w:p w14:paraId="7E016812" w14:textId="77777777" w:rsidR="00417A55" w:rsidRPr="00655441" w:rsidRDefault="00417A55" w:rsidP="00417A55">
      <w:pPr>
        <w:spacing w:after="0" w:line="240" w:lineRule="auto"/>
      </w:pPr>
      <w:r w:rsidRPr="00655441">
        <w:t xml:space="preserve">VAR Value2021 = </w:t>
      </w:r>
    </w:p>
    <w:p w14:paraId="17027B7E" w14:textId="77777777" w:rsidR="00417A55" w:rsidRPr="00655441" w:rsidRDefault="00417A55" w:rsidP="00417A55">
      <w:pPr>
        <w:spacing w:after="0" w:line="240" w:lineRule="auto"/>
      </w:pPr>
      <w:r w:rsidRPr="00655441">
        <w:t xml:space="preserve">    </w:t>
      </w:r>
      <w:proofErr w:type="gramStart"/>
      <w:r w:rsidRPr="00655441">
        <w:t>CALCULATE(</w:t>
      </w:r>
      <w:proofErr w:type="gramEnd"/>
    </w:p>
    <w:p w14:paraId="55485B7A" w14:textId="77777777" w:rsidR="00417A55" w:rsidRPr="00655441" w:rsidRDefault="00417A55" w:rsidP="00417A55">
      <w:pPr>
        <w:spacing w:after="0" w:line="240" w:lineRule="auto"/>
      </w:pPr>
      <w:r w:rsidRPr="00655441">
        <w:t xml:space="preserve">        </w:t>
      </w:r>
      <w:proofErr w:type="gramStart"/>
      <w:r w:rsidRPr="00655441">
        <w:t>SUM(</w:t>
      </w:r>
      <w:proofErr w:type="spellStart"/>
      <w:proofErr w:type="gramEnd"/>
      <w:r w:rsidRPr="00655441">
        <w:t>fact_Governance</w:t>
      </w:r>
      <w:proofErr w:type="spellEnd"/>
      <w:r w:rsidRPr="00655441">
        <w:t>[Value]),</w:t>
      </w:r>
    </w:p>
    <w:p w14:paraId="53EA34D4" w14:textId="77777777" w:rsidR="00417A55" w:rsidRPr="00655441" w:rsidRDefault="00417A55" w:rsidP="00417A55">
      <w:pPr>
        <w:spacing w:after="0" w:line="240" w:lineRule="auto"/>
      </w:pPr>
      <w:r w:rsidRPr="00655441">
        <w:t xml:space="preserve">        </w:t>
      </w:r>
      <w:proofErr w:type="spellStart"/>
      <w:r w:rsidRPr="00655441">
        <w:t>fact_</w:t>
      </w:r>
      <w:proofErr w:type="gramStart"/>
      <w:r w:rsidRPr="00655441">
        <w:t>Governance</w:t>
      </w:r>
      <w:proofErr w:type="spellEnd"/>
      <w:r w:rsidRPr="00655441">
        <w:t>[</w:t>
      </w:r>
      <w:proofErr w:type="gramEnd"/>
      <w:r w:rsidRPr="00655441">
        <w:t>Date] = 2021</w:t>
      </w:r>
    </w:p>
    <w:p w14:paraId="5AF99D3A" w14:textId="77777777" w:rsidR="00417A55" w:rsidRPr="00655441" w:rsidRDefault="00417A55" w:rsidP="00417A55">
      <w:pPr>
        <w:spacing w:after="0" w:line="240" w:lineRule="auto"/>
      </w:pPr>
      <w:r w:rsidRPr="00655441">
        <w:t>    )</w:t>
      </w:r>
    </w:p>
    <w:p w14:paraId="3511AFB5" w14:textId="77777777" w:rsidR="00417A55" w:rsidRPr="00655441" w:rsidRDefault="00417A55" w:rsidP="00417A55">
      <w:pPr>
        <w:spacing w:after="0" w:line="240" w:lineRule="auto"/>
      </w:pPr>
      <w:r w:rsidRPr="00655441">
        <w:t>RETURN</w:t>
      </w:r>
    </w:p>
    <w:p w14:paraId="028E9357" w14:textId="77777777" w:rsidR="00417A55" w:rsidRPr="00655441" w:rsidRDefault="00417A55" w:rsidP="00417A55">
      <w:pPr>
        <w:spacing w:after="0" w:line="240" w:lineRule="auto"/>
      </w:pPr>
      <w:r w:rsidRPr="00655441">
        <w:t xml:space="preserve">    </w:t>
      </w:r>
      <w:proofErr w:type="gramStart"/>
      <w:r w:rsidRPr="00655441">
        <w:t>IF(</w:t>
      </w:r>
      <w:proofErr w:type="gramEnd"/>
    </w:p>
    <w:p w14:paraId="32B72941" w14:textId="77777777" w:rsidR="00417A55" w:rsidRPr="00655441" w:rsidRDefault="00417A55" w:rsidP="00417A55">
      <w:pPr>
        <w:spacing w:after="0" w:line="240" w:lineRule="auto"/>
      </w:pPr>
      <w:r w:rsidRPr="00655441">
        <w:t>        NOT(ISBLANK(Value2021)) &amp;&amp; NOT(ISBLANK(Value2022)),</w:t>
      </w:r>
    </w:p>
    <w:p w14:paraId="37B66261" w14:textId="77777777" w:rsidR="00417A55" w:rsidRPr="00655441" w:rsidRDefault="00417A55" w:rsidP="00417A55">
      <w:pPr>
        <w:spacing w:after="0" w:line="240" w:lineRule="auto"/>
      </w:pPr>
      <w:r w:rsidRPr="00655441">
        <w:t xml:space="preserve">        </w:t>
      </w:r>
      <w:proofErr w:type="gramStart"/>
      <w:r w:rsidRPr="00655441">
        <w:t>DIVIDE(</w:t>
      </w:r>
      <w:proofErr w:type="gramEnd"/>
      <w:r w:rsidRPr="00655441">
        <w:t>Value2022 - Value2021, Value2021) * 100,</w:t>
      </w:r>
    </w:p>
    <w:p w14:paraId="6AE903D2" w14:textId="77777777" w:rsidR="00417A55" w:rsidRPr="00655441" w:rsidRDefault="00417A55" w:rsidP="00417A55">
      <w:pPr>
        <w:spacing w:after="0" w:line="240" w:lineRule="auto"/>
      </w:pPr>
      <w:r w:rsidRPr="00655441">
        <w:t xml:space="preserve">        </w:t>
      </w:r>
      <w:proofErr w:type="gramStart"/>
      <w:r w:rsidRPr="00655441">
        <w:t>BLANK(</w:t>
      </w:r>
      <w:proofErr w:type="gramEnd"/>
      <w:r w:rsidRPr="00655441">
        <w:t>)</w:t>
      </w:r>
    </w:p>
    <w:p w14:paraId="60CD4362" w14:textId="105F0837" w:rsidR="00417A55" w:rsidRDefault="00417A55" w:rsidP="00417A55">
      <w:pPr>
        <w:spacing w:after="0" w:line="240" w:lineRule="auto"/>
      </w:pPr>
      <w:r w:rsidRPr="00655441">
        <w:t>    )</w:t>
      </w:r>
    </w:p>
    <w:p w14:paraId="0C88E6B3" w14:textId="77777777" w:rsidR="00417A55" w:rsidRPr="00417A55" w:rsidRDefault="00417A55" w:rsidP="00417A55">
      <w:pPr>
        <w:spacing w:after="0" w:line="240" w:lineRule="auto"/>
      </w:pPr>
    </w:p>
    <w:p w14:paraId="6CEB26CD" w14:textId="77777777" w:rsidR="00417A55" w:rsidRPr="00417A55" w:rsidRDefault="00417A55" w:rsidP="00417A55">
      <w:r w:rsidRPr="00417A55">
        <w:t xml:space="preserve">This measure calculates the </w:t>
      </w:r>
      <w:r w:rsidRPr="00417A55">
        <w:rPr>
          <w:b/>
          <w:bCs/>
        </w:rPr>
        <w:t>percentage change</w:t>
      </w:r>
      <w:r w:rsidRPr="00417A55">
        <w:t xml:space="preserve"> in the crime severity index between </w:t>
      </w:r>
      <w:r w:rsidRPr="00417A55">
        <w:rPr>
          <w:b/>
          <w:bCs/>
        </w:rPr>
        <w:t>2021 and 2022</w:t>
      </w:r>
      <w:r w:rsidRPr="00417A55">
        <w:t>.</w:t>
      </w:r>
    </w:p>
    <w:p w14:paraId="143C7D03" w14:textId="77777777" w:rsidR="00417A55" w:rsidRPr="00417A55" w:rsidRDefault="00417A55" w:rsidP="00417A55">
      <w:pPr>
        <w:rPr>
          <w:b/>
          <w:bCs/>
        </w:rPr>
      </w:pPr>
      <w:r w:rsidRPr="00417A55">
        <w:rPr>
          <w:rFonts w:ascii="Segoe UI Emoji" w:hAnsi="Segoe UI Emoji" w:cs="Segoe UI Emoji"/>
          <w:b/>
          <w:bCs/>
        </w:rPr>
        <w:t>🔍</w:t>
      </w:r>
      <w:r w:rsidRPr="00417A55">
        <w:rPr>
          <w:b/>
          <w:bCs/>
        </w:rPr>
        <w:t xml:space="preserve"> How it works:</w:t>
      </w:r>
    </w:p>
    <w:p w14:paraId="6F949D5A" w14:textId="77777777" w:rsidR="00417A55" w:rsidRPr="00417A55" w:rsidRDefault="00417A55" w:rsidP="00417A55">
      <w:pPr>
        <w:numPr>
          <w:ilvl w:val="0"/>
          <w:numId w:val="18"/>
        </w:numPr>
      </w:pPr>
      <w:r w:rsidRPr="00417A55">
        <w:t xml:space="preserve">It first stores the total value for </w:t>
      </w:r>
      <w:r w:rsidRPr="00417A55">
        <w:rPr>
          <w:b/>
          <w:bCs/>
        </w:rPr>
        <w:t>2022</w:t>
      </w:r>
      <w:r w:rsidRPr="00417A55">
        <w:t xml:space="preserve"> and </w:t>
      </w:r>
      <w:r w:rsidRPr="00417A55">
        <w:rPr>
          <w:b/>
          <w:bCs/>
        </w:rPr>
        <w:t>2021</w:t>
      </w:r>
      <w:r w:rsidRPr="00417A55">
        <w:t xml:space="preserve"> using VAR.</w:t>
      </w:r>
    </w:p>
    <w:p w14:paraId="3365678E" w14:textId="77777777" w:rsidR="00417A55" w:rsidRPr="00417A55" w:rsidRDefault="00417A55" w:rsidP="00417A55">
      <w:pPr>
        <w:numPr>
          <w:ilvl w:val="0"/>
          <w:numId w:val="18"/>
        </w:numPr>
      </w:pPr>
      <w:r w:rsidRPr="00417A55">
        <w:t xml:space="preserve">Then it checks if both values are </w:t>
      </w:r>
      <w:r w:rsidRPr="00417A55">
        <w:rPr>
          <w:b/>
          <w:bCs/>
        </w:rPr>
        <w:t>not blank</w:t>
      </w:r>
      <w:r w:rsidRPr="00417A55">
        <w:t xml:space="preserve"> (data is available).</w:t>
      </w:r>
    </w:p>
    <w:p w14:paraId="54426EC1" w14:textId="77777777" w:rsidR="00417A55" w:rsidRPr="00417A55" w:rsidRDefault="00417A55" w:rsidP="00417A55">
      <w:pPr>
        <w:numPr>
          <w:ilvl w:val="0"/>
          <w:numId w:val="18"/>
        </w:numPr>
      </w:pPr>
      <w:r w:rsidRPr="00417A55">
        <w:t>If data exists, it calculates the percentage change using this formula:</w:t>
      </w:r>
    </w:p>
    <w:p w14:paraId="07296D32" w14:textId="3B871218" w:rsidR="00E63893" w:rsidRDefault="00E63893" w:rsidP="00417A55">
      <w:r w:rsidRPr="00E63893">
        <w:drawing>
          <wp:inline distT="0" distB="0" distL="0" distR="0" wp14:anchorId="47CDE867" wp14:editId="23B92791">
            <wp:extent cx="6668431" cy="933580"/>
            <wp:effectExtent l="0" t="0" r="0" b="0"/>
            <wp:docPr id="209422741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27412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7AC0" w14:textId="18CCE2E7" w:rsidR="00417A55" w:rsidRPr="00417A55" w:rsidRDefault="00417A55" w:rsidP="00417A55">
      <w:pPr>
        <w:rPr>
          <w:b/>
          <w:bCs/>
        </w:rPr>
      </w:pPr>
      <w:r w:rsidRPr="00417A55">
        <w:rPr>
          <w:rFonts w:ascii="Segoe UI Emoji" w:hAnsi="Segoe UI Emoji" w:cs="Segoe UI Emoji"/>
          <w:b/>
          <w:bCs/>
        </w:rPr>
        <w:t>🧠</w:t>
      </w:r>
      <w:r w:rsidRPr="00417A55">
        <w:rPr>
          <w:b/>
          <w:bCs/>
        </w:rPr>
        <w:t xml:space="preserve"> Why it’s useful:</w:t>
      </w:r>
    </w:p>
    <w:p w14:paraId="38FA116F" w14:textId="77777777" w:rsidR="00417A55" w:rsidRPr="00417A55" w:rsidRDefault="00417A55" w:rsidP="00417A55">
      <w:r w:rsidRPr="00417A55">
        <w:lastRenderedPageBreak/>
        <w:t xml:space="preserve">This measure is used in the </w:t>
      </w:r>
      <w:r w:rsidRPr="00417A55">
        <w:rPr>
          <w:b/>
          <w:bCs/>
        </w:rPr>
        <w:t>Governance dashboard</w:t>
      </w:r>
      <w:r w:rsidRPr="00417A55">
        <w:t xml:space="preserve"> KPI card to </w:t>
      </w:r>
      <w:r w:rsidRPr="00417A55">
        <w:rPr>
          <w:b/>
          <w:bCs/>
        </w:rPr>
        <w:t>quickly show the change</w:t>
      </w:r>
      <w:r w:rsidRPr="00417A55">
        <w:t xml:space="preserve"> in crime severity year-over-year. It helps decision-makers see if crime rates are increasing or decreasing.</w:t>
      </w:r>
    </w:p>
    <w:p w14:paraId="6C7BA890" w14:textId="77777777" w:rsidR="00417A55" w:rsidRPr="00417A55" w:rsidRDefault="008B3EF3" w:rsidP="00417A55">
      <w:r>
        <w:pict w14:anchorId="0C3EBCD2">
          <v:rect id="_x0000_i1033" style="width:0;height:1.5pt" o:hralign="center" o:hrstd="t" o:hr="t" fillcolor="#a0a0a0" stroked="f"/>
        </w:pict>
      </w:r>
    </w:p>
    <w:p w14:paraId="5EFE82F6" w14:textId="77777777" w:rsidR="00417A55" w:rsidRDefault="00417A55" w:rsidP="00417A55">
      <w:pPr>
        <w:rPr>
          <w:b/>
          <w:bCs/>
        </w:rPr>
      </w:pPr>
      <w:r w:rsidRPr="00417A55">
        <w:rPr>
          <w:rFonts w:ascii="Segoe UI Emoji" w:hAnsi="Segoe UI Emoji" w:cs="Segoe UI Emoji"/>
          <w:b/>
          <w:bCs/>
        </w:rPr>
        <w:t>🧾</w:t>
      </w:r>
      <w:r w:rsidRPr="00417A55">
        <w:rPr>
          <w:b/>
          <w:bCs/>
        </w:rPr>
        <w:t xml:space="preserve"> 2. Index Value 2022</w:t>
      </w:r>
    </w:p>
    <w:p w14:paraId="619DAC37" w14:textId="77777777" w:rsidR="00417A55" w:rsidRPr="00877D58" w:rsidRDefault="00417A55" w:rsidP="00417A55">
      <w:pPr>
        <w:spacing w:after="0" w:line="240" w:lineRule="auto"/>
      </w:pPr>
      <w:r w:rsidRPr="00877D58">
        <w:t>Index Value 202</w:t>
      </w:r>
      <w:r>
        <w:t>2</w:t>
      </w:r>
      <w:r w:rsidRPr="00877D58">
        <w:t xml:space="preserve"> = </w:t>
      </w:r>
    </w:p>
    <w:p w14:paraId="78E4A13A" w14:textId="77777777" w:rsidR="00417A55" w:rsidRPr="00877D58" w:rsidRDefault="00417A55" w:rsidP="00417A55">
      <w:pPr>
        <w:spacing w:after="0" w:line="240" w:lineRule="auto"/>
      </w:pPr>
      <w:proofErr w:type="gramStart"/>
      <w:r w:rsidRPr="00877D58">
        <w:t>CALCULATE(</w:t>
      </w:r>
      <w:proofErr w:type="gramEnd"/>
    </w:p>
    <w:p w14:paraId="760A39CF" w14:textId="77777777" w:rsidR="00417A55" w:rsidRPr="00877D58" w:rsidRDefault="00417A55" w:rsidP="00417A55">
      <w:pPr>
        <w:spacing w:after="0" w:line="240" w:lineRule="auto"/>
      </w:pPr>
      <w:r w:rsidRPr="00877D58">
        <w:t xml:space="preserve">    </w:t>
      </w:r>
      <w:proofErr w:type="gramStart"/>
      <w:r w:rsidRPr="00877D58">
        <w:t>SUM(</w:t>
      </w:r>
      <w:proofErr w:type="spellStart"/>
      <w:proofErr w:type="gramEnd"/>
      <w:r w:rsidRPr="00877D58">
        <w:t>fact_Governance</w:t>
      </w:r>
      <w:proofErr w:type="spellEnd"/>
      <w:r w:rsidRPr="00877D58">
        <w:t>[Value]),</w:t>
      </w:r>
    </w:p>
    <w:p w14:paraId="0158B144" w14:textId="77777777" w:rsidR="00417A55" w:rsidRPr="00877D58" w:rsidRDefault="00417A55" w:rsidP="00417A55">
      <w:pPr>
        <w:spacing w:after="0" w:line="240" w:lineRule="auto"/>
      </w:pPr>
      <w:r w:rsidRPr="00877D58">
        <w:t xml:space="preserve">    </w:t>
      </w:r>
      <w:proofErr w:type="spellStart"/>
      <w:r w:rsidRPr="00877D58">
        <w:t>fact_</w:t>
      </w:r>
      <w:proofErr w:type="gramStart"/>
      <w:r w:rsidRPr="00877D58">
        <w:t>Governance</w:t>
      </w:r>
      <w:proofErr w:type="spellEnd"/>
      <w:r w:rsidRPr="00877D58">
        <w:t>[</w:t>
      </w:r>
      <w:proofErr w:type="gramEnd"/>
      <w:r w:rsidRPr="00877D58">
        <w:t>Date] = 202</w:t>
      </w:r>
      <w:r>
        <w:t>2</w:t>
      </w:r>
    </w:p>
    <w:p w14:paraId="429522F1" w14:textId="77777777" w:rsidR="00417A55" w:rsidRPr="00877D58" w:rsidRDefault="00417A55" w:rsidP="00417A55">
      <w:pPr>
        <w:spacing w:after="0" w:line="240" w:lineRule="auto"/>
      </w:pPr>
      <w:r w:rsidRPr="00877D58">
        <w:t>)</w:t>
      </w:r>
    </w:p>
    <w:p w14:paraId="23C542BA" w14:textId="77777777" w:rsidR="00417A55" w:rsidRPr="00417A55" w:rsidRDefault="00417A55" w:rsidP="00417A55">
      <w:pPr>
        <w:rPr>
          <w:b/>
          <w:bCs/>
        </w:rPr>
      </w:pPr>
    </w:p>
    <w:p w14:paraId="64F311DF" w14:textId="77777777" w:rsidR="00417A55" w:rsidRPr="00417A55" w:rsidRDefault="00417A55" w:rsidP="00417A55">
      <w:r w:rsidRPr="00417A55">
        <w:t xml:space="preserve">This measure simply </w:t>
      </w:r>
      <w:r w:rsidRPr="00417A55">
        <w:rPr>
          <w:b/>
          <w:bCs/>
        </w:rPr>
        <w:t>sums the crime severity values</w:t>
      </w:r>
      <w:r w:rsidRPr="00417A55">
        <w:t xml:space="preserve"> for the year </w:t>
      </w:r>
      <w:r w:rsidRPr="00417A55">
        <w:rPr>
          <w:b/>
          <w:bCs/>
        </w:rPr>
        <w:t>2022</w:t>
      </w:r>
      <w:r w:rsidRPr="00417A55">
        <w:t>.</w:t>
      </w:r>
    </w:p>
    <w:p w14:paraId="5C01978A" w14:textId="77777777" w:rsidR="00417A55" w:rsidRPr="00417A55" w:rsidRDefault="00417A55" w:rsidP="00417A55">
      <w:pPr>
        <w:rPr>
          <w:b/>
          <w:bCs/>
        </w:rPr>
      </w:pPr>
      <w:r w:rsidRPr="00417A55">
        <w:rPr>
          <w:rFonts w:ascii="Segoe UI Emoji" w:hAnsi="Segoe UI Emoji" w:cs="Segoe UI Emoji"/>
          <w:b/>
          <w:bCs/>
        </w:rPr>
        <w:t>🔍</w:t>
      </w:r>
      <w:r w:rsidRPr="00417A55">
        <w:rPr>
          <w:b/>
          <w:bCs/>
        </w:rPr>
        <w:t xml:space="preserve"> How it works:</w:t>
      </w:r>
    </w:p>
    <w:p w14:paraId="441F68D1" w14:textId="77777777" w:rsidR="00417A55" w:rsidRPr="00417A55" w:rsidRDefault="00417A55" w:rsidP="00417A55">
      <w:r w:rsidRPr="00417A55">
        <w:t xml:space="preserve">It filters the data where the Date is 2022 and adds up the Value column from the </w:t>
      </w:r>
      <w:proofErr w:type="spellStart"/>
      <w:r w:rsidRPr="00417A55">
        <w:t>fact_Governance</w:t>
      </w:r>
      <w:proofErr w:type="spellEnd"/>
      <w:r w:rsidRPr="00417A55">
        <w:t xml:space="preserve"> table.</w:t>
      </w:r>
    </w:p>
    <w:p w14:paraId="0404F20C" w14:textId="77777777" w:rsidR="00417A55" w:rsidRPr="00417A55" w:rsidRDefault="00417A55" w:rsidP="00417A55">
      <w:pPr>
        <w:rPr>
          <w:b/>
          <w:bCs/>
        </w:rPr>
      </w:pPr>
      <w:r w:rsidRPr="00417A55">
        <w:rPr>
          <w:rFonts w:ascii="Segoe UI Emoji" w:hAnsi="Segoe UI Emoji" w:cs="Segoe UI Emoji"/>
          <w:b/>
          <w:bCs/>
        </w:rPr>
        <w:t>🧠</w:t>
      </w:r>
      <w:r w:rsidRPr="00417A55">
        <w:rPr>
          <w:b/>
          <w:bCs/>
        </w:rPr>
        <w:t xml:space="preserve"> Why it’s useful:</w:t>
      </w:r>
    </w:p>
    <w:p w14:paraId="4CC65AD9" w14:textId="77777777" w:rsidR="00417A55" w:rsidRPr="00417A55" w:rsidRDefault="00417A55" w:rsidP="00417A55">
      <w:r w:rsidRPr="00417A55">
        <w:t xml:space="preserve">This is shown on the </w:t>
      </w:r>
      <w:r w:rsidRPr="00417A55">
        <w:rPr>
          <w:b/>
          <w:bCs/>
        </w:rPr>
        <w:t>Governance dashboard</w:t>
      </w:r>
      <w:r w:rsidRPr="00417A55">
        <w:t xml:space="preserve"> to highlight the </w:t>
      </w:r>
      <w:r w:rsidRPr="00417A55">
        <w:rPr>
          <w:b/>
          <w:bCs/>
        </w:rPr>
        <w:t>total crime index</w:t>
      </w:r>
      <w:r w:rsidRPr="00417A55">
        <w:t xml:space="preserve"> for 2022.</w:t>
      </w:r>
    </w:p>
    <w:p w14:paraId="70982247" w14:textId="77777777" w:rsidR="00417A55" w:rsidRPr="00417A55" w:rsidRDefault="008B3EF3" w:rsidP="00417A55">
      <w:r>
        <w:pict w14:anchorId="5DDE8780">
          <v:rect id="_x0000_i1034" style="width:0;height:1.5pt" o:hralign="center" o:hrstd="t" o:hr="t" fillcolor="#a0a0a0" stroked="f"/>
        </w:pict>
      </w:r>
    </w:p>
    <w:p w14:paraId="1767E9C4" w14:textId="77777777" w:rsidR="00417A55" w:rsidRDefault="00417A55" w:rsidP="00417A55">
      <w:pPr>
        <w:rPr>
          <w:b/>
          <w:bCs/>
        </w:rPr>
      </w:pPr>
      <w:r w:rsidRPr="00417A55">
        <w:rPr>
          <w:rFonts w:ascii="Segoe UI Emoji" w:hAnsi="Segoe UI Emoji" w:cs="Segoe UI Emoji"/>
          <w:b/>
          <w:bCs/>
        </w:rPr>
        <w:t>🧾</w:t>
      </w:r>
      <w:r w:rsidRPr="00417A55">
        <w:rPr>
          <w:b/>
          <w:bCs/>
        </w:rPr>
        <w:t xml:space="preserve"> 3. Index Value 2021</w:t>
      </w:r>
    </w:p>
    <w:p w14:paraId="56DC3037" w14:textId="77777777" w:rsidR="000C6058" w:rsidRPr="00877D58" w:rsidRDefault="000C6058" w:rsidP="000C6058">
      <w:pPr>
        <w:spacing w:after="0" w:line="240" w:lineRule="auto"/>
      </w:pPr>
      <w:r w:rsidRPr="00877D58">
        <w:t xml:space="preserve">Index Value 2021 = </w:t>
      </w:r>
    </w:p>
    <w:p w14:paraId="5832924F" w14:textId="77777777" w:rsidR="000C6058" w:rsidRPr="00877D58" w:rsidRDefault="000C6058" w:rsidP="000C6058">
      <w:pPr>
        <w:spacing w:after="0" w:line="240" w:lineRule="auto"/>
      </w:pPr>
      <w:proofErr w:type="gramStart"/>
      <w:r w:rsidRPr="00877D58">
        <w:t>CALCULATE(</w:t>
      </w:r>
      <w:proofErr w:type="gramEnd"/>
    </w:p>
    <w:p w14:paraId="2723C2DB" w14:textId="77777777" w:rsidR="000C6058" w:rsidRPr="00877D58" w:rsidRDefault="000C6058" w:rsidP="000C6058">
      <w:pPr>
        <w:spacing w:after="0" w:line="240" w:lineRule="auto"/>
      </w:pPr>
      <w:r w:rsidRPr="00877D58">
        <w:t xml:space="preserve">    </w:t>
      </w:r>
      <w:proofErr w:type="gramStart"/>
      <w:r w:rsidRPr="00877D58">
        <w:t>SUM(</w:t>
      </w:r>
      <w:proofErr w:type="spellStart"/>
      <w:proofErr w:type="gramEnd"/>
      <w:r w:rsidRPr="00877D58">
        <w:t>fact_Governance</w:t>
      </w:r>
      <w:proofErr w:type="spellEnd"/>
      <w:r w:rsidRPr="00877D58">
        <w:t>[Value]),</w:t>
      </w:r>
    </w:p>
    <w:p w14:paraId="21F72374" w14:textId="77777777" w:rsidR="000C6058" w:rsidRPr="00877D58" w:rsidRDefault="000C6058" w:rsidP="000C6058">
      <w:pPr>
        <w:spacing w:after="0" w:line="240" w:lineRule="auto"/>
      </w:pPr>
      <w:r w:rsidRPr="00877D58">
        <w:t xml:space="preserve">    </w:t>
      </w:r>
      <w:proofErr w:type="spellStart"/>
      <w:r w:rsidRPr="00877D58">
        <w:t>fact_</w:t>
      </w:r>
      <w:proofErr w:type="gramStart"/>
      <w:r w:rsidRPr="00877D58">
        <w:t>Governance</w:t>
      </w:r>
      <w:proofErr w:type="spellEnd"/>
      <w:r w:rsidRPr="00877D58">
        <w:t>[</w:t>
      </w:r>
      <w:proofErr w:type="gramEnd"/>
      <w:r w:rsidRPr="00877D58">
        <w:t>Date] = 2021</w:t>
      </w:r>
    </w:p>
    <w:p w14:paraId="2117CF17" w14:textId="77777777" w:rsidR="000C6058" w:rsidRPr="00877D58" w:rsidRDefault="000C6058" w:rsidP="000C6058">
      <w:pPr>
        <w:spacing w:after="0" w:line="240" w:lineRule="auto"/>
      </w:pPr>
      <w:r w:rsidRPr="00877D58">
        <w:t>)</w:t>
      </w:r>
    </w:p>
    <w:p w14:paraId="7929E251" w14:textId="77777777" w:rsidR="000C6058" w:rsidRPr="00417A55" w:rsidRDefault="000C6058" w:rsidP="00417A55">
      <w:pPr>
        <w:rPr>
          <w:b/>
          <w:bCs/>
        </w:rPr>
      </w:pPr>
    </w:p>
    <w:p w14:paraId="087FD44E" w14:textId="77777777" w:rsidR="00417A55" w:rsidRPr="00417A55" w:rsidRDefault="00417A55" w:rsidP="00417A55">
      <w:proofErr w:type="gramStart"/>
      <w:r w:rsidRPr="00417A55">
        <w:t>Similar to</w:t>
      </w:r>
      <w:proofErr w:type="gramEnd"/>
      <w:r w:rsidRPr="00417A55">
        <w:t xml:space="preserve"> the previous one, this measure sums up the </w:t>
      </w:r>
      <w:r w:rsidRPr="00417A55">
        <w:rPr>
          <w:b/>
          <w:bCs/>
        </w:rPr>
        <w:t>crime severity values</w:t>
      </w:r>
      <w:r w:rsidRPr="00417A55">
        <w:t xml:space="preserve"> for the year </w:t>
      </w:r>
      <w:r w:rsidRPr="00417A55">
        <w:rPr>
          <w:b/>
          <w:bCs/>
        </w:rPr>
        <w:t>2021</w:t>
      </w:r>
      <w:r w:rsidRPr="00417A55">
        <w:t>.</w:t>
      </w:r>
    </w:p>
    <w:p w14:paraId="2B006E7B" w14:textId="77777777" w:rsidR="00417A55" w:rsidRPr="00417A55" w:rsidRDefault="00417A55" w:rsidP="00417A55">
      <w:pPr>
        <w:rPr>
          <w:b/>
          <w:bCs/>
        </w:rPr>
      </w:pPr>
      <w:r w:rsidRPr="00417A55">
        <w:rPr>
          <w:rFonts w:ascii="Segoe UI Emoji" w:hAnsi="Segoe UI Emoji" w:cs="Segoe UI Emoji"/>
          <w:b/>
          <w:bCs/>
        </w:rPr>
        <w:t>🧠</w:t>
      </w:r>
      <w:r w:rsidRPr="00417A55">
        <w:rPr>
          <w:b/>
          <w:bCs/>
        </w:rPr>
        <w:t xml:space="preserve"> Why it’s useful:</w:t>
      </w:r>
    </w:p>
    <w:p w14:paraId="4A9B3CB9" w14:textId="77777777" w:rsidR="00417A55" w:rsidRPr="00417A55" w:rsidRDefault="00417A55" w:rsidP="00417A55">
      <w:r w:rsidRPr="00417A55">
        <w:t xml:space="preserve">This lets us </w:t>
      </w:r>
      <w:r w:rsidRPr="00417A55">
        <w:rPr>
          <w:b/>
          <w:bCs/>
        </w:rPr>
        <w:t>compare 2021 and 2022</w:t>
      </w:r>
      <w:r w:rsidRPr="00417A55">
        <w:t xml:space="preserve"> directly and is also used inside the % Change in Index measure.</w:t>
      </w:r>
    </w:p>
    <w:p w14:paraId="00999686" w14:textId="77777777" w:rsidR="00417A55" w:rsidRPr="00655441" w:rsidRDefault="00417A55" w:rsidP="00655441"/>
    <w:p w14:paraId="316D768F" w14:textId="77777777" w:rsidR="00BB219E" w:rsidRDefault="00BB219E" w:rsidP="00B144FD"/>
    <w:p w14:paraId="368BE44E" w14:textId="2FC2594E" w:rsidR="00BB219E" w:rsidRDefault="00BB219E">
      <w:r>
        <w:br w:type="page"/>
      </w:r>
    </w:p>
    <w:p w14:paraId="69F206BE" w14:textId="77777777" w:rsidR="00BB219E" w:rsidRPr="00BB219E" w:rsidRDefault="00BB219E" w:rsidP="00BB219E">
      <w:pPr>
        <w:rPr>
          <w:b/>
          <w:bCs/>
        </w:rPr>
      </w:pPr>
      <w:r w:rsidRPr="00BB219E">
        <w:rPr>
          <w:rFonts w:ascii="Segoe UI Emoji" w:hAnsi="Segoe UI Emoji" w:cs="Segoe UI Emoji"/>
          <w:b/>
          <w:bCs/>
        </w:rPr>
        <w:lastRenderedPageBreak/>
        <w:t>🔹</w:t>
      </w:r>
      <w:r w:rsidRPr="00BB219E">
        <w:rPr>
          <w:b/>
          <w:bCs/>
        </w:rPr>
        <w:t xml:space="preserve"> 1. Summary Page – Unequal Realities</w:t>
      </w:r>
    </w:p>
    <w:p w14:paraId="04F999AB" w14:textId="77777777" w:rsidR="00BB219E" w:rsidRPr="00BB219E" w:rsidRDefault="00BB219E" w:rsidP="00BB219E">
      <w:r w:rsidRPr="00BB219E">
        <w:rPr>
          <w:b/>
          <w:bCs/>
        </w:rPr>
        <w:t>Key Insights:</w:t>
      </w:r>
    </w:p>
    <w:p w14:paraId="7688E526" w14:textId="77777777" w:rsidR="00BB219E" w:rsidRPr="00BB219E" w:rsidRDefault="00BB219E" w:rsidP="00BB219E">
      <w:pPr>
        <w:numPr>
          <w:ilvl w:val="0"/>
          <w:numId w:val="12"/>
        </w:numPr>
      </w:pPr>
      <w:r w:rsidRPr="00BB219E">
        <w:rPr>
          <w:b/>
          <w:bCs/>
        </w:rPr>
        <w:t>Poverty</w:t>
      </w:r>
      <w:r w:rsidRPr="00BB219E">
        <w:t xml:space="preserve"> is highest in </w:t>
      </w:r>
      <w:r w:rsidRPr="00BB219E">
        <w:rPr>
          <w:b/>
          <w:bCs/>
        </w:rPr>
        <w:t>Ontario</w:t>
      </w:r>
      <w:r w:rsidRPr="00BB219E">
        <w:t xml:space="preserve"> (approx. 2.1M), followed by </w:t>
      </w:r>
      <w:r w:rsidRPr="00BB219E">
        <w:rPr>
          <w:b/>
          <w:bCs/>
        </w:rPr>
        <w:t>Quebec</w:t>
      </w:r>
      <w:r w:rsidRPr="00BB219E">
        <w:t xml:space="preserve"> and </w:t>
      </w:r>
      <w:r w:rsidRPr="00BB219E">
        <w:rPr>
          <w:b/>
          <w:bCs/>
        </w:rPr>
        <w:t>Prairies</w:t>
      </w:r>
      <w:r w:rsidRPr="00BB219E">
        <w:t>.</w:t>
      </w:r>
    </w:p>
    <w:p w14:paraId="7CCBCD33" w14:textId="77777777" w:rsidR="00BB219E" w:rsidRPr="00BB219E" w:rsidRDefault="00BB219E" w:rsidP="00BB219E">
      <w:pPr>
        <w:numPr>
          <w:ilvl w:val="0"/>
          <w:numId w:val="12"/>
        </w:numPr>
      </w:pPr>
      <w:r w:rsidRPr="00BB219E">
        <w:rPr>
          <w:b/>
          <w:bCs/>
        </w:rPr>
        <w:t>Health values</w:t>
      </w:r>
      <w:r w:rsidRPr="00BB219E">
        <w:t xml:space="preserve"> also peak in </w:t>
      </w:r>
      <w:r w:rsidRPr="00BB219E">
        <w:rPr>
          <w:b/>
          <w:bCs/>
        </w:rPr>
        <w:t>Ontario</w:t>
      </w:r>
      <w:r w:rsidRPr="00BB219E">
        <w:t>, indicating a potential population-driven demand for health services.</w:t>
      </w:r>
    </w:p>
    <w:p w14:paraId="318C1B09" w14:textId="77777777" w:rsidR="00BB219E" w:rsidRPr="00BB219E" w:rsidRDefault="00BB219E" w:rsidP="00BB219E">
      <w:pPr>
        <w:numPr>
          <w:ilvl w:val="0"/>
          <w:numId w:val="12"/>
        </w:numPr>
      </w:pPr>
      <w:r w:rsidRPr="00BB219E">
        <w:rPr>
          <w:b/>
          <w:bCs/>
        </w:rPr>
        <w:t>Crime Index</w:t>
      </w:r>
      <w:r w:rsidRPr="00BB219E">
        <w:t xml:space="preserve"> data for Alberta shows slight fluctuations, and the </w:t>
      </w:r>
      <w:r w:rsidRPr="00BB219E">
        <w:rPr>
          <w:b/>
          <w:bCs/>
        </w:rPr>
        <w:t>Youth Crime Severity Index</w:t>
      </w:r>
      <w:r w:rsidRPr="00BB219E">
        <w:t xml:space="preserve"> is notable.</w:t>
      </w:r>
    </w:p>
    <w:p w14:paraId="66F5E556" w14:textId="77777777" w:rsidR="00BB219E" w:rsidRPr="00BB219E" w:rsidRDefault="00BB219E" w:rsidP="00BB219E">
      <w:pPr>
        <w:numPr>
          <w:ilvl w:val="0"/>
          <w:numId w:val="12"/>
        </w:numPr>
      </w:pPr>
      <w:r w:rsidRPr="00BB219E">
        <w:t xml:space="preserve">People reported </w:t>
      </w:r>
      <w:r w:rsidRPr="00BB219E">
        <w:rPr>
          <w:b/>
          <w:bCs/>
        </w:rPr>
        <w:t>highest satisfaction</w:t>
      </w:r>
      <w:r w:rsidRPr="00BB219E">
        <w:t xml:space="preserve"> in life, access to health providers, and sense of belonging.</w:t>
      </w:r>
    </w:p>
    <w:p w14:paraId="026BEF82" w14:textId="77777777" w:rsidR="00BB219E" w:rsidRPr="00BB219E" w:rsidRDefault="00BB219E" w:rsidP="00BB219E">
      <w:pPr>
        <w:numPr>
          <w:ilvl w:val="0"/>
          <w:numId w:val="12"/>
        </w:numPr>
      </w:pPr>
      <w:r w:rsidRPr="00BB219E">
        <w:t xml:space="preserve">In terms of </w:t>
      </w:r>
      <w:r w:rsidRPr="00BB219E">
        <w:rPr>
          <w:b/>
          <w:bCs/>
        </w:rPr>
        <w:t>environment</w:t>
      </w:r>
      <w:r w:rsidRPr="00BB219E">
        <w:t>, “satisfaction with local environment” shows wide variation among regions.</w:t>
      </w:r>
    </w:p>
    <w:p w14:paraId="01D00AD9" w14:textId="77777777" w:rsidR="00BB219E" w:rsidRPr="00BB219E" w:rsidRDefault="008B3EF3" w:rsidP="00BB219E">
      <w:r>
        <w:pict w14:anchorId="21E836FB">
          <v:rect id="_x0000_i1035" style="width:0;height:1.5pt" o:hralign="center" o:hrstd="t" o:hr="t" fillcolor="#a0a0a0" stroked="f"/>
        </w:pict>
      </w:r>
    </w:p>
    <w:p w14:paraId="253CD84A" w14:textId="77777777" w:rsidR="00BB219E" w:rsidRPr="00BB219E" w:rsidRDefault="00BB219E" w:rsidP="00BB219E">
      <w:pPr>
        <w:rPr>
          <w:b/>
          <w:bCs/>
        </w:rPr>
      </w:pPr>
      <w:r w:rsidRPr="00BB219E">
        <w:rPr>
          <w:rFonts w:ascii="Segoe UI Emoji" w:hAnsi="Segoe UI Emoji" w:cs="Segoe UI Emoji"/>
          <w:b/>
          <w:bCs/>
        </w:rPr>
        <w:t>🔹</w:t>
      </w:r>
      <w:r w:rsidRPr="00BB219E">
        <w:rPr>
          <w:b/>
          <w:bCs/>
        </w:rPr>
        <w:t xml:space="preserve"> 2. Health – "Mind Over Matter"</w:t>
      </w:r>
    </w:p>
    <w:p w14:paraId="2A4254DD" w14:textId="77777777" w:rsidR="00BB219E" w:rsidRPr="00BB219E" w:rsidRDefault="00BB219E" w:rsidP="00BB219E">
      <w:r w:rsidRPr="00BB219E">
        <w:rPr>
          <w:b/>
          <w:bCs/>
        </w:rPr>
        <w:t>Key Insights:</w:t>
      </w:r>
    </w:p>
    <w:p w14:paraId="4DBE6725" w14:textId="77777777" w:rsidR="00BB219E" w:rsidRPr="00BB219E" w:rsidRDefault="00BB219E" w:rsidP="00BB219E">
      <w:pPr>
        <w:numPr>
          <w:ilvl w:val="0"/>
          <w:numId w:val="13"/>
        </w:numPr>
      </w:pPr>
      <w:r w:rsidRPr="00BB219E">
        <w:rPr>
          <w:b/>
          <w:bCs/>
        </w:rPr>
        <w:t>Elderly population (65+)</w:t>
      </w:r>
      <w:r w:rsidRPr="00BB219E">
        <w:t xml:space="preserve"> represents the </w:t>
      </w:r>
      <w:r w:rsidRPr="00BB219E">
        <w:rPr>
          <w:b/>
          <w:bCs/>
        </w:rPr>
        <w:t>highest count</w:t>
      </w:r>
      <w:r w:rsidRPr="00BB219E">
        <w:t xml:space="preserve"> of health-related indicators (both male and female).</w:t>
      </w:r>
    </w:p>
    <w:p w14:paraId="1C87CD83" w14:textId="77777777" w:rsidR="00BB219E" w:rsidRPr="00BB219E" w:rsidRDefault="00BB219E" w:rsidP="00BB219E">
      <w:pPr>
        <w:numPr>
          <w:ilvl w:val="0"/>
          <w:numId w:val="13"/>
        </w:numPr>
      </w:pPr>
      <w:r w:rsidRPr="00BB219E">
        <w:rPr>
          <w:b/>
          <w:bCs/>
        </w:rPr>
        <w:t>Ontario</w:t>
      </w:r>
      <w:r w:rsidRPr="00BB219E">
        <w:t xml:space="preserve"> leads with the </w:t>
      </w:r>
      <w:r w:rsidRPr="00BB219E">
        <w:rPr>
          <w:b/>
          <w:bCs/>
        </w:rPr>
        <w:t>highest average health indicator values</w:t>
      </w:r>
      <w:r w:rsidRPr="00BB219E">
        <w:t xml:space="preserve"> (~2.07M), likely due to population.</w:t>
      </w:r>
    </w:p>
    <w:p w14:paraId="20E3D09E" w14:textId="77777777" w:rsidR="00BB219E" w:rsidRPr="00BB219E" w:rsidRDefault="00BB219E" w:rsidP="00BB219E">
      <w:pPr>
        <w:numPr>
          <w:ilvl w:val="0"/>
          <w:numId w:val="13"/>
        </w:numPr>
      </w:pPr>
      <w:r w:rsidRPr="00BB219E">
        <w:rPr>
          <w:b/>
          <w:bCs/>
        </w:rPr>
        <w:t>Top health indicators</w:t>
      </w:r>
      <w:r w:rsidRPr="00BB219E">
        <w:t xml:space="preserve"> include:</w:t>
      </w:r>
    </w:p>
    <w:p w14:paraId="5EC6EF73" w14:textId="77777777" w:rsidR="00BB219E" w:rsidRPr="00BB219E" w:rsidRDefault="00BB219E" w:rsidP="00BB219E">
      <w:pPr>
        <w:numPr>
          <w:ilvl w:val="1"/>
          <w:numId w:val="13"/>
        </w:numPr>
      </w:pPr>
      <w:r w:rsidRPr="00BB219E">
        <w:t>Regular healthcare access</w:t>
      </w:r>
    </w:p>
    <w:p w14:paraId="10DCF582" w14:textId="77777777" w:rsidR="00BB219E" w:rsidRPr="00BB219E" w:rsidRDefault="00BB219E" w:rsidP="00BB219E">
      <w:pPr>
        <w:numPr>
          <w:ilvl w:val="1"/>
          <w:numId w:val="13"/>
        </w:numPr>
      </w:pPr>
      <w:r w:rsidRPr="00BB219E">
        <w:t>Mental and physical health perception</w:t>
      </w:r>
    </w:p>
    <w:p w14:paraId="07C330D4" w14:textId="77777777" w:rsidR="00BB219E" w:rsidRPr="00BB219E" w:rsidRDefault="00BB219E" w:rsidP="00BB219E">
      <w:pPr>
        <w:numPr>
          <w:ilvl w:val="1"/>
          <w:numId w:val="13"/>
        </w:numPr>
      </w:pPr>
      <w:r w:rsidRPr="00BB219E">
        <w:t>Life satisfaction</w:t>
      </w:r>
    </w:p>
    <w:p w14:paraId="6634FC1F" w14:textId="77777777" w:rsidR="00BB219E" w:rsidRPr="00BB219E" w:rsidRDefault="00BB219E" w:rsidP="00BB219E">
      <w:pPr>
        <w:numPr>
          <w:ilvl w:val="1"/>
          <w:numId w:val="13"/>
        </w:numPr>
      </w:pPr>
      <w:r w:rsidRPr="00BB219E">
        <w:t>Influenza vaccination</w:t>
      </w:r>
    </w:p>
    <w:p w14:paraId="19B91991" w14:textId="77777777" w:rsidR="00BB219E" w:rsidRPr="00BB219E" w:rsidRDefault="00BB219E" w:rsidP="00BB219E">
      <w:pPr>
        <w:numPr>
          <w:ilvl w:val="1"/>
          <w:numId w:val="13"/>
        </w:numPr>
      </w:pPr>
      <w:r w:rsidRPr="00BB219E">
        <w:t>BMI and arthritis data</w:t>
      </w:r>
    </w:p>
    <w:p w14:paraId="6D167D28" w14:textId="77777777" w:rsidR="00BB219E" w:rsidRPr="00BB219E" w:rsidRDefault="00BB219E" w:rsidP="00BB219E">
      <w:pPr>
        <w:numPr>
          <w:ilvl w:val="0"/>
          <w:numId w:val="13"/>
        </w:numPr>
      </w:pPr>
      <w:r w:rsidRPr="00BB219E">
        <w:rPr>
          <w:b/>
          <w:bCs/>
        </w:rPr>
        <w:t>Women</w:t>
      </w:r>
      <w:r w:rsidRPr="00BB219E">
        <w:t xml:space="preserve"> generally report </w:t>
      </w:r>
      <w:r w:rsidRPr="00BB219E">
        <w:rPr>
          <w:b/>
          <w:bCs/>
        </w:rPr>
        <w:t>higher values</w:t>
      </w:r>
      <w:r w:rsidRPr="00BB219E">
        <w:t xml:space="preserve"> in health-related categories.</w:t>
      </w:r>
    </w:p>
    <w:p w14:paraId="12CC4B30" w14:textId="77777777" w:rsidR="00BB219E" w:rsidRPr="00BB219E" w:rsidRDefault="008B3EF3" w:rsidP="00BB219E">
      <w:r>
        <w:pict w14:anchorId="64920CEE">
          <v:rect id="_x0000_i1036" style="width:0;height:1.5pt" o:hralign="center" o:hrstd="t" o:hr="t" fillcolor="#a0a0a0" stroked="f"/>
        </w:pict>
      </w:r>
    </w:p>
    <w:p w14:paraId="426D3A64" w14:textId="77777777" w:rsidR="00BB219E" w:rsidRPr="00BB219E" w:rsidRDefault="00BB219E" w:rsidP="00BB219E">
      <w:pPr>
        <w:rPr>
          <w:b/>
          <w:bCs/>
        </w:rPr>
      </w:pPr>
      <w:r w:rsidRPr="00BB219E">
        <w:rPr>
          <w:rFonts w:ascii="Segoe UI Emoji" w:hAnsi="Segoe UI Emoji" w:cs="Segoe UI Emoji"/>
          <w:b/>
          <w:bCs/>
        </w:rPr>
        <w:t>🔹</w:t>
      </w:r>
      <w:r w:rsidRPr="00BB219E">
        <w:rPr>
          <w:b/>
          <w:bCs/>
        </w:rPr>
        <w:t xml:space="preserve"> 3. Prosperity – "Economic Roots: Canada’s Poverty Rate"</w:t>
      </w:r>
    </w:p>
    <w:p w14:paraId="7365F2E1" w14:textId="77777777" w:rsidR="00BB219E" w:rsidRPr="00BB219E" w:rsidRDefault="00BB219E" w:rsidP="00BB219E">
      <w:r w:rsidRPr="00BB219E">
        <w:rPr>
          <w:b/>
          <w:bCs/>
        </w:rPr>
        <w:t>Key Insights:</w:t>
      </w:r>
    </w:p>
    <w:p w14:paraId="292398CD" w14:textId="77777777" w:rsidR="00BB219E" w:rsidRPr="00BB219E" w:rsidRDefault="00BB219E" w:rsidP="00BB219E">
      <w:pPr>
        <w:numPr>
          <w:ilvl w:val="0"/>
          <w:numId w:val="14"/>
        </w:numPr>
      </w:pPr>
      <w:r w:rsidRPr="00BB219E">
        <w:rPr>
          <w:b/>
          <w:bCs/>
        </w:rPr>
        <w:t>Ontario</w:t>
      </w:r>
      <w:r w:rsidRPr="00BB219E">
        <w:t xml:space="preserve"> again leads with the highest poverty numbers (~0.42M avg), followed by the </w:t>
      </w:r>
      <w:r w:rsidRPr="00BB219E">
        <w:rPr>
          <w:b/>
          <w:bCs/>
        </w:rPr>
        <w:t>Prairies</w:t>
      </w:r>
      <w:r w:rsidRPr="00BB219E">
        <w:t xml:space="preserve"> and </w:t>
      </w:r>
      <w:r w:rsidRPr="00BB219E">
        <w:rPr>
          <w:b/>
          <w:bCs/>
        </w:rPr>
        <w:t>BC</w:t>
      </w:r>
      <w:r w:rsidRPr="00BB219E">
        <w:t>.</w:t>
      </w:r>
    </w:p>
    <w:p w14:paraId="55A9BC13" w14:textId="77777777" w:rsidR="00BB219E" w:rsidRPr="00BB219E" w:rsidRDefault="00BB219E" w:rsidP="00BB219E">
      <w:pPr>
        <w:numPr>
          <w:ilvl w:val="0"/>
          <w:numId w:val="14"/>
        </w:numPr>
      </w:pPr>
      <w:r w:rsidRPr="00BB219E">
        <w:rPr>
          <w:b/>
          <w:bCs/>
        </w:rPr>
        <w:t>Gender split</w:t>
      </w:r>
      <w:r w:rsidRPr="00BB219E">
        <w:t xml:space="preserve"> shows that </w:t>
      </w:r>
      <w:r w:rsidRPr="00BB219E">
        <w:rPr>
          <w:b/>
          <w:bCs/>
        </w:rPr>
        <w:t>males (52.13%)</w:t>
      </w:r>
      <w:r w:rsidRPr="00BB219E">
        <w:t xml:space="preserve"> slightly exceed females (47.87%) in poverty numbers.</w:t>
      </w:r>
    </w:p>
    <w:p w14:paraId="6BA1094E" w14:textId="77777777" w:rsidR="00BB219E" w:rsidRPr="00BB219E" w:rsidRDefault="00BB219E" w:rsidP="00BB219E">
      <w:pPr>
        <w:numPr>
          <w:ilvl w:val="0"/>
          <w:numId w:val="14"/>
        </w:numPr>
      </w:pPr>
      <w:r w:rsidRPr="00BB219E">
        <w:lastRenderedPageBreak/>
        <w:t>The highest poverty numbers are concentrated in urban and populous provinces.</w:t>
      </w:r>
    </w:p>
    <w:p w14:paraId="1BEEDE76" w14:textId="77777777" w:rsidR="00BB219E" w:rsidRPr="00BB219E" w:rsidRDefault="008B3EF3" w:rsidP="00BB219E">
      <w:r>
        <w:pict w14:anchorId="5206E6D1">
          <v:rect id="_x0000_i1037" style="width:0;height:1.5pt" o:hralign="center" o:hrstd="t" o:hr="t" fillcolor="#a0a0a0" stroked="f"/>
        </w:pict>
      </w:r>
    </w:p>
    <w:p w14:paraId="35D928B7" w14:textId="77777777" w:rsidR="00BB219E" w:rsidRPr="00BB219E" w:rsidRDefault="00BB219E" w:rsidP="00BB219E">
      <w:pPr>
        <w:rPr>
          <w:b/>
          <w:bCs/>
        </w:rPr>
      </w:pPr>
      <w:r w:rsidRPr="00BB219E">
        <w:rPr>
          <w:rFonts w:ascii="Segoe UI Emoji" w:hAnsi="Segoe UI Emoji" w:cs="Segoe UI Emoji"/>
          <w:b/>
          <w:bCs/>
        </w:rPr>
        <w:t>🔹</w:t>
      </w:r>
      <w:r w:rsidRPr="00BB219E">
        <w:rPr>
          <w:b/>
          <w:bCs/>
        </w:rPr>
        <w:t xml:space="preserve"> 4. Governance – "Security in Numbers: Crime Severity Index"</w:t>
      </w:r>
    </w:p>
    <w:p w14:paraId="66FBB1C5" w14:textId="77777777" w:rsidR="00BB219E" w:rsidRPr="00BB219E" w:rsidRDefault="00BB219E" w:rsidP="00BB219E">
      <w:r w:rsidRPr="00BB219E">
        <w:rPr>
          <w:b/>
          <w:bCs/>
        </w:rPr>
        <w:t>Key Insights:</w:t>
      </w:r>
    </w:p>
    <w:p w14:paraId="60DFC2BB" w14:textId="77777777" w:rsidR="00BB219E" w:rsidRPr="00BB219E" w:rsidRDefault="00BB219E" w:rsidP="00BB219E">
      <w:pPr>
        <w:numPr>
          <w:ilvl w:val="0"/>
          <w:numId w:val="15"/>
        </w:numPr>
      </w:pPr>
      <w:r w:rsidRPr="00BB219E">
        <w:t xml:space="preserve">British Columbia shows an increase in the </w:t>
      </w:r>
      <w:r w:rsidRPr="00BB219E">
        <w:rPr>
          <w:b/>
          <w:bCs/>
        </w:rPr>
        <w:t>Crime Severity Index</w:t>
      </w:r>
      <w:r w:rsidRPr="00BB219E">
        <w:t>:</w:t>
      </w:r>
    </w:p>
    <w:p w14:paraId="033E7CEB" w14:textId="77777777" w:rsidR="00BB219E" w:rsidRPr="00BB219E" w:rsidRDefault="00BB219E" w:rsidP="00BB219E">
      <w:pPr>
        <w:numPr>
          <w:ilvl w:val="1"/>
          <w:numId w:val="15"/>
        </w:numPr>
      </w:pPr>
      <w:r w:rsidRPr="00BB219E">
        <w:t xml:space="preserve">From </w:t>
      </w:r>
      <w:r w:rsidRPr="00BB219E">
        <w:rPr>
          <w:b/>
          <w:bCs/>
        </w:rPr>
        <w:t>96.44 (2021)</w:t>
      </w:r>
      <w:r w:rsidRPr="00BB219E">
        <w:t xml:space="preserve"> to </w:t>
      </w:r>
      <w:r w:rsidRPr="00BB219E">
        <w:rPr>
          <w:b/>
          <w:bCs/>
        </w:rPr>
        <w:t>100.37 (2022)</w:t>
      </w:r>
      <w:r w:rsidRPr="00BB219E">
        <w:t xml:space="preserve"> → a </w:t>
      </w:r>
      <w:r w:rsidRPr="00BB219E">
        <w:rPr>
          <w:b/>
          <w:bCs/>
        </w:rPr>
        <w:t>4% rise</w:t>
      </w:r>
      <w:r w:rsidRPr="00BB219E">
        <w:t>.</w:t>
      </w:r>
    </w:p>
    <w:p w14:paraId="0F4AF5F3" w14:textId="77777777" w:rsidR="00BB219E" w:rsidRPr="00BB219E" w:rsidRDefault="00BB219E" w:rsidP="00BB219E">
      <w:pPr>
        <w:numPr>
          <w:ilvl w:val="0"/>
          <w:numId w:val="15"/>
        </w:numPr>
      </w:pPr>
      <w:r w:rsidRPr="00BB219E">
        <w:t>You have included a KPI visual clearly showing this % change.</w:t>
      </w:r>
    </w:p>
    <w:p w14:paraId="49CA360F" w14:textId="77777777" w:rsidR="00BB219E" w:rsidRPr="00BB219E" w:rsidRDefault="00BB219E" w:rsidP="00BB219E">
      <w:pPr>
        <w:numPr>
          <w:ilvl w:val="0"/>
          <w:numId w:val="15"/>
        </w:numPr>
      </w:pPr>
      <w:r w:rsidRPr="00BB219E">
        <w:t xml:space="preserve">Filter options for </w:t>
      </w:r>
      <w:r w:rsidRPr="00BB219E">
        <w:rPr>
          <w:b/>
          <w:bCs/>
        </w:rPr>
        <w:t>different types of crime indicators</w:t>
      </w:r>
      <w:r w:rsidRPr="00BB219E">
        <w:t xml:space="preserve"> (violent, non-violent, clearance rates) allow for detailed governance analysis.</w:t>
      </w:r>
    </w:p>
    <w:p w14:paraId="6D88B291" w14:textId="77777777" w:rsidR="00BB219E" w:rsidRPr="00BB219E" w:rsidRDefault="008B3EF3" w:rsidP="00BB219E">
      <w:r>
        <w:pict w14:anchorId="6DD1D064">
          <v:rect id="_x0000_i1038" style="width:0;height:1.5pt" o:hralign="center" o:hrstd="t" o:hr="t" fillcolor="#a0a0a0" stroked="f"/>
        </w:pict>
      </w:r>
    </w:p>
    <w:p w14:paraId="30374BB4" w14:textId="77777777" w:rsidR="00BB219E" w:rsidRPr="00BB219E" w:rsidRDefault="00BB219E" w:rsidP="00BB219E">
      <w:pPr>
        <w:rPr>
          <w:b/>
          <w:bCs/>
        </w:rPr>
      </w:pPr>
      <w:r w:rsidRPr="00BB219E">
        <w:rPr>
          <w:rFonts w:ascii="Segoe UI Emoji" w:hAnsi="Segoe UI Emoji" w:cs="Segoe UI Emoji"/>
          <w:b/>
          <w:bCs/>
        </w:rPr>
        <w:t>🔹</w:t>
      </w:r>
      <w:r w:rsidRPr="00BB219E">
        <w:rPr>
          <w:b/>
          <w:bCs/>
        </w:rPr>
        <w:t xml:space="preserve"> 5. Society – "We’re in This Together: Sense of Belonging"</w:t>
      </w:r>
    </w:p>
    <w:p w14:paraId="546008F0" w14:textId="77777777" w:rsidR="00BB219E" w:rsidRPr="00BB219E" w:rsidRDefault="00BB219E" w:rsidP="00BB219E">
      <w:r w:rsidRPr="00BB219E">
        <w:rPr>
          <w:b/>
          <w:bCs/>
        </w:rPr>
        <w:t>Key Insights:</w:t>
      </w:r>
    </w:p>
    <w:p w14:paraId="0343C325" w14:textId="77777777" w:rsidR="00BB219E" w:rsidRPr="00BB219E" w:rsidRDefault="00BB219E" w:rsidP="00BB219E">
      <w:pPr>
        <w:numPr>
          <w:ilvl w:val="0"/>
          <w:numId w:val="16"/>
        </w:numPr>
      </w:pPr>
      <w:r w:rsidRPr="00BB219E">
        <w:rPr>
          <w:b/>
          <w:bCs/>
        </w:rPr>
        <w:t>Strong sense of belonging</w:t>
      </w:r>
      <w:r w:rsidRPr="00BB219E">
        <w:t xml:space="preserve"> reported by </w:t>
      </w:r>
      <w:proofErr w:type="gramStart"/>
      <w:r w:rsidRPr="00BB219E">
        <w:rPr>
          <w:b/>
          <w:bCs/>
        </w:rPr>
        <w:t>18 to 34 year-olds</w:t>
      </w:r>
      <w:proofErr w:type="gramEnd"/>
      <w:r w:rsidRPr="00BB219E">
        <w:t xml:space="preserve"> most frequently (~0.30M).</w:t>
      </w:r>
    </w:p>
    <w:p w14:paraId="59A221C1" w14:textId="77777777" w:rsidR="00BB219E" w:rsidRPr="00BB219E" w:rsidRDefault="00BB219E" w:rsidP="00BB219E">
      <w:pPr>
        <w:numPr>
          <w:ilvl w:val="0"/>
          <w:numId w:val="16"/>
        </w:numPr>
      </w:pPr>
      <w:r w:rsidRPr="00BB219E">
        <w:rPr>
          <w:b/>
          <w:bCs/>
        </w:rPr>
        <w:t>Top 5 Indicators</w:t>
      </w:r>
      <w:r w:rsidRPr="00BB219E">
        <w:t xml:space="preserve"> for society satisfaction include:</w:t>
      </w:r>
    </w:p>
    <w:p w14:paraId="3BF5D59D" w14:textId="77777777" w:rsidR="00BB219E" w:rsidRPr="00BB219E" w:rsidRDefault="00BB219E" w:rsidP="00BB219E">
      <w:pPr>
        <w:numPr>
          <w:ilvl w:val="1"/>
          <w:numId w:val="16"/>
        </w:numPr>
      </w:pPr>
      <w:r w:rsidRPr="00BB219E">
        <w:t>Life satisfaction</w:t>
      </w:r>
    </w:p>
    <w:p w14:paraId="6110B31D" w14:textId="77777777" w:rsidR="00BB219E" w:rsidRPr="00BB219E" w:rsidRDefault="00BB219E" w:rsidP="00BB219E">
      <w:pPr>
        <w:numPr>
          <w:ilvl w:val="1"/>
          <w:numId w:val="16"/>
        </w:numPr>
      </w:pPr>
      <w:r w:rsidRPr="00BB219E">
        <w:t>Having a healthcare provider</w:t>
      </w:r>
    </w:p>
    <w:p w14:paraId="58B43986" w14:textId="77777777" w:rsidR="00BB219E" w:rsidRPr="00BB219E" w:rsidRDefault="00BB219E" w:rsidP="00BB219E">
      <w:pPr>
        <w:numPr>
          <w:ilvl w:val="1"/>
          <w:numId w:val="16"/>
        </w:numPr>
      </w:pPr>
      <w:r w:rsidRPr="00BB219E">
        <w:t>Sense of belonging</w:t>
      </w:r>
    </w:p>
    <w:p w14:paraId="150FA94B" w14:textId="77777777" w:rsidR="00BB219E" w:rsidRPr="00BB219E" w:rsidRDefault="00BB219E" w:rsidP="00BB219E">
      <w:pPr>
        <w:numPr>
          <w:ilvl w:val="1"/>
          <w:numId w:val="16"/>
        </w:numPr>
      </w:pPr>
      <w:r w:rsidRPr="00BB219E">
        <w:t>Good health &amp; mental health</w:t>
      </w:r>
    </w:p>
    <w:p w14:paraId="14DE4D08" w14:textId="77777777" w:rsidR="00BB219E" w:rsidRPr="00BB219E" w:rsidRDefault="00BB219E" w:rsidP="00BB219E">
      <w:pPr>
        <w:numPr>
          <w:ilvl w:val="0"/>
          <w:numId w:val="16"/>
        </w:numPr>
      </w:pPr>
      <w:r w:rsidRPr="00BB219E">
        <w:t xml:space="preserve">Gender distribution: </w:t>
      </w:r>
      <w:r w:rsidRPr="00BB219E">
        <w:rPr>
          <w:b/>
          <w:bCs/>
        </w:rPr>
        <w:t>Females (49.22%)</w:t>
      </w:r>
      <w:r w:rsidRPr="00BB219E">
        <w:t xml:space="preserve">, </w:t>
      </w:r>
      <w:r w:rsidRPr="00BB219E">
        <w:rPr>
          <w:b/>
          <w:bCs/>
        </w:rPr>
        <w:t>Males (50.78%)</w:t>
      </w:r>
      <w:r w:rsidRPr="00BB219E">
        <w:t xml:space="preserve"> — relatively balanced.</w:t>
      </w:r>
    </w:p>
    <w:p w14:paraId="2F3DFAE2" w14:textId="77777777" w:rsidR="00BB219E" w:rsidRPr="00BB219E" w:rsidRDefault="00BB219E" w:rsidP="00BB219E">
      <w:pPr>
        <w:numPr>
          <w:ilvl w:val="0"/>
          <w:numId w:val="16"/>
        </w:numPr>
      </w:pPr>
      <w:r w:rsidRPr="00BB219E">
        <w:t xml:space="preserve">Maps show </w:t>
      </w:r>
      <w:r w:rsidRPr="00BB219E">
        <w:rPr>
          <w:b/>
          <w:bCs/>
        </w:rPr>
        <w:t>regional distribution</w:t>
      </w:r>
      <w:r w:rsidRPr="00BB219E">
        <w:t>, highlighting provinces where belonging is stronger.</w:t>
      </w:r>
    </w:p>
    <w:p w14:paraId="77CE74CF" w14:textId="77777777" w:rsidR="00BB219E" w:rsidRPr="00BB219E" w:rsidRDefault="008B3EF3" w:rsidP="00BB219E">
      <w:r>
        <w:pict w14:anchorId="25347ED2">
          <v:rect id="_x0000_i1039" style="width:0;height:1.5pt" o:hralign="center" o:hrstd="t" o:hr="t" fillcolor="#a0a0a0" stroked="f"/>
        </w:pict>
      </w:r>
    </w:p>
    <w:p w14:paraId="466418B1" w14:textId="77777777" w:rsidR="00BB219E" w:rsidRPr="00BB219E" w:rsidRDefault="00BB219E" w:rsidP="00BB219E">
      <w:pPr>
        <w:rPr>
          <w:b/>
          <w:bCs/>
        </w:rPr>
      </w:pPr>
      <w:r w:rsidRPr="00BB219E">
        <w:rPr>
          <w:rFonts w:ascii="Segoe UI Emoji" w:hAnsi="Segoe UI Emoji" w:cs="Segoe UI Emoji"/>
          <w:b/>
          <w:bCs/>
        </w:rPr>
        <w:t>🔹</w:t>
      </w:r>
      <w:r w:rsidRPr="00BB219E">
        <w:rPr>
          <w:b/>
          <w:bCs/>
        </w:rPr>
        <w:t xml:space="preserve"> 6. Environment – "We’re in This Together: Sense of Belonging" (Environment)</w:t>
      </w:r>
    </w:p>
    <w:p w14:paraId="091422EF" w14:textId="77777777" w:rsidR="00BB219E" w:rsidRPr="00BB219E" w:rsidRDefault="00BB219E" w:rsidP="00BB219E">
      <w:r w:rsidRPr="00BB219E">
        <w:rPr>
          <w:i/>
          <w:iCs/>
        </w:rPr>
        <w:t>(Note: same title, different content, inferred from chart type and indicators)</w:t>
      </w:r>
    </w:p>
    <w:p w14:paraId="2706F181" w14:textId="7805515E" w:rsidR="00BB219E" w:rsidRPr="00BB219E" w:rsidRDefault="00BB219E" w:rsidP="00BB219E">
      <w:r w:rsidRPr="00BB219E">
        <w:rPr>
          <w:b/>
          <w:bCs/>
        </w:rPr>
        <w:t>Key Insights:</w:t>
      </w:r>
    </w:p>
    <w:p w14:paraId="506BA539" w14:textId="77777777" w:rsidR="00BB219E" w:rsidRPr="00BB219E" w:rsidRDefault="00BB219E" w:rsidP="00BB219E">
      <w:pPr>
        <w:numPr>
          <w:ilvl w:val="0"/>
          <w:numId w:val="17"/>
        </w:numPr>
      </w:pPr>
      <w:r w:rsidRPr="00BB219E">
        <w:t xml:space="preserve">Gender distribution again nearly balanced: </w:t>
      </w:r>
      <w:r w:rsidRPr="00BB219E">
        <w:rPr>
          <w:b/>
          <w:bCs/>
        </w:rPr>
        <w:t>Women: 49.21%</w:t>
      </w:r>
      <w:r w:rsidRPr="00BB219E">
        <w:t xml:space="preserve">, </w:t>
      </w:r>
      <w:r w:rsidRPr="00BB219E">
        <w:rPr>
          <w:b/>
          <w:bCs/>
        </w:rPr>
        <w:t>Men: 50.79%</w:t>
      </w:r>
      <w:r w:rsidRPr="00BB219E">
        <w:t>.</w:t>
      </w:r>
    </w:p>
    <w:p w14:paraId="4CAE60DC" w14:textId="77777777" w:rsidR="00BB219E" w:rsidRPr="00BB219E" w:rsidRDefault="00BB219E" w:rsidP="00BB219E">
      <w:pPr>
        <w:numPr>
          <w:ilvl w:val="0"/>
          <w:numId w:val="17"/>
        </w:numPr>
      </w:pPr>
      <w:r w:rsidRPr="00BB219E">
        <w:t>Environmental satisfaction is highest in the most populous and urbanized regions.</w:t>
      </w:r>
    </w:p>
    <w:p w14:paraId="4DE8DE6D" w14:textId="77777777" w:rsidR="00BB219E" w:rsidRPr="00B144FD" w:rsidRDefault="00BB219E" w:rsidP="00B144FD"/>
    <w:sectPr w:rsidR="00BB219E" w:rsidRPr="00B144FD" w:rsidSect="002B25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9477A"/>
    <w:multiLevelType w:val="multilevel"/>
    <w:tmpl w:val="AB1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3A3B"/>
    <w:multiLevelType w:val="multilevel"/>
    <w:tmpl w:val="3F20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42C5D"/>
    <w:multiLevelType w:val="hybridMultilevel"/>
    <w:tmpl w:val="3A985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60E5"/>
    <w:multiLevelType w:val="hybridMultilevel"/>
    <w:tmpl w:val="092890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33EAD"/>
    <w:multiLevelType w:val="multilevel"/>
    <w:tmpl w:val="55A2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22D1B"/>
    <w:multiLevelType w:val="multilevel"/>
    <w:tmpl w:val="5532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14990"/>
    <w:multiLevelType w:val="hybridMultilevel"/>
    <w:tmpl w:val="AA2E1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734DB"/>
    <w:multiLevelType w:val="multilevel"/>
    <w:tmpl w:val="0CB6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B00ED"/>
    <w:multiLevelType w:val="hybridMultilevel"/>
    <w:tmpl w:val="7310A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E2B28"/>
    <w:multiLevelType w:val="multilevel"/>
    <w:tmpl w:val="94F6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C37F5"/>
    <w:multiLevelType w:val="multilevel"/>
    <w:tmpl w:val="F848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B383F"/>
    <w:multiLevelType w:val="multilevel"/>
    <w:tmpl w:val="0596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510FC"/>
    <w:multiLevelType w:val="hybridMultilevel"/>
    <w:tmpl w:val="56C654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A6CFD"/>
    <w:multiLevelType w:val="multilevel"/>
    <w:tmpl w:val="CC42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3790C"/>
    <w:multiLevelType w:val="hybridMultilevel"/>
    <w:tmpl w:val="7D72E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D7842"/>
    <w:multiLevelType w:val="hybridMultilevel"/>
    <w:tmpl w:val="7B4210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E4003"/>
    <w:multiLevelType w:val="hybridMultilevel"/>
    <w:tmpl w:val="A462D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F3847"/>
    <w:multiLevelType w:val="multilevel"/>
    <w:tmpl w:val="9534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645682">
    <w:abstractNumId w:val="12"/>
  </w:num>
  <w:num w:numId="2" w16cid:durableId="1095712948">
    <w:abstractNumId w:val="13"/>
  </w:num>
  <w:num w:numId="3" w16cid:durableId="1465390452">
    <w:abstractNumId w:val="7"/>
  </w:num>
  <w:num w:numId="4" w16cid:durableId="1023281593">
    <w:abstractNumId w:val="11"/>
  </w:num>
  <w:num w:numId="5" w16cid:durableId="413166620">
    <w:abstractNumId w:val="6"/>
  </w:num>
  <w:num w:numId="6" w16cid:durableId="760680889">
    <w:abstractNumId w:val="3"/>
  </w:num>
  <w:num w:numId="7" w16cid:durableId="675691423">
    <w:abstractNumId w:val="15"/>
  </w:num>
  <w:num w:numId="8" w16cid:durableId="1626306491">
    <w:abstractNumId w:val="2"/>
  </w:num>
  <w:num w:numId="9" w16cid:durableId="1072851312">
    <w:abstractNumId w:val="8"/>
  </w:num>
  <w:num w:numId="10" w16cid:durableId="502474219">
    <w:abstractNumId w:val="16"/>
  </w:num>
  <w:num w:numId="11" w16cid:durableId="1979534924">
    <w:abstractNumId w:val="14"/>
  </w:num>
  <w:num w:numId="12" w16cid:durableId="358118642">
    <w:abstractNumId w:val="9"/>
  </w:num>
  <w:num w:numId="13" w16cid:durableId="412050307">
    <w:abstractNumId w:val="5"/>
  </w:num>
  <w:num w:numId="14" w16cid:durableId="1461067381">
    <w:abstractNumId w:val="17"/>
  </w:num>
  <w:num w:numId="15" w16cid:durableId="1255742894">
    <w:abstractNumId w:val="4"/>
  </w:num>
  <w:num w:numId="16" w16cid:durableId="964459675">
    <w:abstractNumId w:val="10"/>
  </w:num>
  <w:num w:numId="17" w16cid:durableId="1647975397">
    <w:abstractNumId w:val="0"/>
  </w:num>
  <w:num w:numId="18" w16cid:durableId="1869101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BF"/>
    <w:rsid w:val="000013C3"/>
    <w:rsid w:val="00005FE7"/>
    <w:rsid w:val="00007CE9"/>
    <w:rsid w:val="000530D4"/>
    <w:rsid w:val="00086335"/>
    <w:rsid w:val="000C0512"/>
    <w:rsid w:val="000C39BF"/>
    <w:rsid w:val="000C6058"/>
    <w:rsid w:val="000C74C7"/>
    <w:rsid w:val="00156952"/>
    <w:rsid w:val="00157FE5"/>
    <w:rsid w:val="0016320E"/>
    <w:rsid w:val="00165945"/>
    <w:rsid w:val="001B4715"/>
    <w:rsid w:val="001C2A9B"/>
    <w:rsid w:val="001C63D2"/>
    <w:rsid w:val="002024ED"/>
    <w:rsid w:val="002034F9"/>
    <w:rsid w:val="00216C34"/>
    <w:rsid w:val="002244CD"/>
    <w:rsid w:val="00245560"/>
    <w:rsid w:val="0024594F"/>
    <w:rsid w:val="0025095A"/>
    <w:rsid w:val="00274873"/>
    <w:rsid w:val="00275045"/>
    <w:rsid w:val="00294416"/>
    <w:rsid w:val="002A7A0C"/>
    <w:rsid w:val="002B257F"/>
    <w:rsid w:val="002E5F79"/>
    <w:rsid w:val="00331B84"/>
    <w:rsid w:val="00350FBC"/>
    <w:rsid w:val="00366EEA"/>
    <w:rsid w:val="00417A55"/>
    <w:rsid w:val="0045037E"/>
    <w:rsid w:val="0045395B"/>
    <w:rsid w:val="004620A5"/>
    <w:rsid w:val="004A105F"/>
    <w:rsid w:val="004B4686"/>
    <w:rsid w:val="004C1B95"/>
    <w:rsid w:val="004D7864"/>
    <w:rsid w:val="004E227E"/>
    <w:rsid w:val="00506F70"/>
    <w:rsid w:val="00523C6D"/>
    <w:rsid w:val="00526CEB"/>
    <w:rsid w:val="00624C32"/>
    <w:rsid w:val="00655441"/>
    <w:rsid w:val="006E779A"/>
    <w:rsid w:val="007032D8"/>
    <w:rsid w:val="00755CB2"/>
    <w:rsid w:val="0077298B"/>
    <w:rsid w:val="00785F9E"/>
    <w:rsid w:val="007B266B"/>
    <w:rsid w:val="008027A3"/>
    <w:rsid w:val="0080701F"/>
    <w:rsid w:val="00863C87"/>
    <w:rsid w:val="00872A86"/>
    <w:rsid w:val="00877D58"/>
    <w:rsid w:val="008A3FA6"/>
    <w:rsid w:val="008B0071"/>
    <w:rsid w:val="008B0E56"/>
    <w:rsid w:val="008B1580"/>
    <w:rsid w:val="008B3EF3"/>
    <w:rsid w:val="008C41CC"/>
    <w:rsid w:val="008E095D"/>
    <w:rsid w:val="008F5332"/>
    <w:rsid w:val="009560ED"/>
    <w:rsid w:val="00964DB5"/>
    <w:rsid w:val="00982D50"/>
    <w:rsid w:val="009A3437"/>
    <w:rsid w:val="009D46BF"/>
    <w:rsid w:val="009E1971"/>
    <w:rsid w:val="009E50AC"/>
    <w:rsid w:val="009F2678"/>
    <w:rsid w:val="009F2A4C"/>
    <w:rsid w:val="00A04AEA"/>
    <w:rsid w:val="00A1030D"/>
    <w:rsid w:val="00A266FB"/>
    <w:rsid w:val="00A33C23"/>
    <w:rsid w:val="00A40CD0"/>
    <w:rsid w:val="00AF31D6"/>
    <w:rsid w:val="00B144FD"/>
    <w:rsid w:val="00B15538"/>
    <w:rsid w:val="00B25667"/>
    <w:rsid w:val="00B32CD0"/>
    <w:rsid w:val="00B729EE"/>
    <w:rsid w:val="00B83E3D"/>
    <w:rsid w:val="00BB172B"/>
    <w:rsid w:val="00BB1EEE"/>
    <w:rsid w:val="00BB219E"/>
    <w:rsid w:val="00BF5B8B"/>
    <w:rsid w:val="00C04292"/>
    <w:rsid w:val="00C47A82"/>
    <w:rsid w:val="00C54173"/>
    <w:rsid w:val="00CA125E"/>
    <w:rsid w:val="00D06FB0"/>
    <w:rsid w:val="00D326FD"/>
    <w:rsid w:val="00D41501"/>
    <w:rsid w:val="00D430C6"/>
    <w:rsid w:val="00D8718D"/>
    <w:rsid w:val="00DD43CE"/>
    <w:rsid w:val="00DD61E0"/>
    <w:rsid w:val="00E41607"/>
    <w:rsid w:val="00E63893"/>
    <w:rsid w:val="00E87989"/>
    <w:rsid w:val="00EA10C0"/>
    <w:rsid w:val="00EB671E"/>
    <w:rsid w:val="00F050A4"/>
    <w:rsid w:val="00F555E1"/>
    <w:rsid w:val="00F60F66"/>
    <w:rsid w:val="00F62D15"/>
    <w:rsid w:val="00F716EE"/>
    <w:rsid w:val="00F80FE3"/>
    <w:rsid w:val="00F930C5"/>
    <w:rsid w:val="00FA5040"/>
    <w:rsid w:val="00FB5DA9"/>
    <w:rsid w:val="00FF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98F098B"/>
  <w15:chartTrackingRefBased/>
  <w15:docId w15:val="{B946D747-C759-4F37-A9BB-E45D9C49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945"/>
  </w:style>
  <w:style w:type="paragraph" w:styleId="Heading1">
    <w:name w:val="heading 1"/>
    <w:basedOn w:val="Normal"/>
    <w:next w:val="Normal"/>
    <w:link w:val="Heading1Char"/>
    <w:uiPriority w:val="9"/>
    <w:qFormat/>
    <w:rsid w:val="009D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6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6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6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0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1632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1632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B0071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2509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t1/tbl1/en/tv.action?pid=45100070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150.statcan.gc.ca/t1/tbl1/en/tv.action?pid=13100096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t1/tbl1/en/tv.action?pid=131000960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150.statcan.gc.ca/t1/tbl1/en/tv.action?pid=1110013501" TargetMode="External"/><Relationship Id="rId10" Type="http://schemas.openxmlformats.org/officeDocument/2006/relationships/hyperlink" Target="https://www150.statcan.gc.ca/t1/tbl1/en/tv.action?pid=3510002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50.statcan.gc.ca/t1/tbl1/en/tv.action?pid=3510002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Rathod</dc:creator>
  <cp:keywords/>
  <dc:description/>
  <cp:lastModifiedBy>Mohit Rathod</cp:lastModifiedBy>
  <cp:revision>2</cp:revision>
  <dcterms:created xsi:type="dcterms:W3CDTF">2025-04-04T20:55:00Z</dcterms:created>
  <dcterms:modified xsi:type="dcterms:W3CDTF">2025-04-04T20:55:00Z</dcterms:modified>
</cp:coreProperties>
</file>