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intelligence2.xml" ContentType="application/vnd.ms-office.intelligence2+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xmlns:a="http://purl.oclc.org/ooxml/drawingml/main" xmlns:pic="http://purl.oclc.org/ooxml/drawingml/picture" xmlns:a14="http://schemas.microsoft.com/office/drawing/2010/main" w:conformance="strict" mc:Ignorable="w14 w15 w16se w16cid w16 w16cex w16sdtdh wne wp14">
  <w:body>
    <w:p w:rsidRPr="008B6524" w:rsidR="009303D9" w:rsidP="1318D97B" w:rsidRDefault="009303D9" w14:paraId="31BC6E45" w14:noSpellErr="1" w14:textId="120A19A5">
      <w:pPr>
        <w:pStyle w:val="papertitle"/>
        <w:spacing w:before="5pt" w:beforeAutospacing="1" w:after="5pt" w:afterAutospacing="1"/>
      </w:pPr>
      <w:r w:rsidR="1F72A878">
        <w:rPr/>
        <w:t>Stock Price Forecasting Using Time Series Analysis and Machine Learning</w:t>
      </w:r>
    </w:p>
    <w:p w:rsidR="00D7522C" w:rsidP="003B4E04" w:rsidRDefault="00D7522C" w14:paraId="20C779BD" w14:textId="77777777">
      <w:pPr>
        <w:pStyle w:val="Author"/>
        <w:spacing w:before="5pt" w:beforeAutospacing="1" w:after="5pt" w:afterAutospacing="1" w:line="6pt" w:lineRule="auto"/>
        <w:rPr>
          <w:sz w:val="16"/>
          <w:szCs w:val="16"/>
        </w:rPr>
      </w:pPr>
    </w:p>
    <w:p w:rsidRPr="00CA4392" w:rsidR="00D7522C" w:rsidP="1318D97B" w:rsidRDefault="00D7522C" w14:paraId="1F960E65" w14:textId="77777777" w14:noSpellErr="1">
      <w:pPr>
        <w:pStyle w:val="Author"/>
        <w:spacing w:before="5pt" w:beforeAutospacing="1" w:after="5pt" w:afterAutospacing="1" w:line="6pt" w:lineRule="auto"/>
        <w:rPr>
          <w:sz w:val="16"/>
          <w:szCs w:val="16"/>
        </w:rPr>
      </w:pPr>
    </w:p>
    <w:p w:rsidR="1318D97B" w:rsidP="1318D97B" w:rsidRDefault="1318D97B" w14:paraId="222FADA0" w14:textId="1D9BE282">
      <w:pPr>
        <w:pStyle w:val="Author"/>
        <w:spacing w:beforeAutospacing="1" w:afterAutospacing="1" w:line="6pt" w:lineRule="auto"/>
        <w:rPr>
          <w:sz w:val="16"/>
          <w:szCs w:val="16"/>
        </w:rPr>
      </w:pPr>
    </w:p>
    <w:p w:rsidR="1318D97B" w:rsidP="1318D97B" w:rsidRDefault="1318D97B" w14:paraId="3D597E10" w14:textId="14A0D682">
      <w:pPr>
        <w:pStyle w:val="Author"/>
        <w:spacing w:beforeAutospacing="1" w:afterAutospacing="1" w:line="6pt" w:lineRule="auto"/>
        <w:rPr>
          <w:sz w:val="16"/>
          <w:szCs w:val="16"/>
        </w:rPr>
      </w:pPr>
    </w:p>
    <w:p w:rsidR="1318D97B" w:rsidP="1318D97B" w:rsidRDefault="1318D97B" w14:paraId="1C4B89D8" w14:textId="1675B27C">
      <w:pPr>
        <w:pStyle w:val="Author"/>
        <w:spacing w:beforeAutospacing="1" w:afterAutospacing="1" w:line="6pt" w:lineRule="auto"/>
        <w:rPr>
          <w:sz w:val="16"/>
          <w:szCs w:val="16"/>
        </w:rPr>
      </w:pPr>
    </w:p>
    <w:p w:rsidR="1318D97B" w:rsidP="1318D97B" w:rsidRDefault="1318D97B" w14:paraId="5F8C615B" w14:textId="2EC7A73A">
      <w:pPr>
        <w:pStyle w:val="Author"/>
        <w:suppressLineNumbers w:val="0"/>
        <w:bidi w:val="0"/>
        <w:spacing w:beforeAutospacing="1" w:afterAutospacing="1" w:line="6pt" w:lineRule="auto"/>
        <w:sectPr w:rsidRPr="00CA4392" w:rsidR="00D7522C" w:rsidSect="003B4E04">
          <w:pgSz w:w="595.3pt" w:h="841.9pt" w:orient="portrait" w:code="9"/>
          <w:pgMar w:top="27pt" w:right="44.65pt" w:bottom="72pt" w:left="44.65pt" w:header="36pt" w:footer="36pt" w:gutter="0pt"/>
          <w:cols w:space="720"/>
          <w:titlePg/>
          <w:docGrid w:linePitch="360"/>
          <w:headerReference w:type="default" r:id="R788939ab952a42a7"/>
        </w:sectPr>
      </w:pPr>
    </w:p>
    <w:p w:rsidR="00BD670B" w:rsidP="1318D97B" w:rsidRDefault="009303D9" w14:paraId="5AB2FE26" w14:textId="43D73AAB">
      <w:pPr>
        <w:pStyle w:val="Author"/>
        <w:spacing w:before="5pt" w:beforeAutospacing="1"/>
        <w:rPr>
          <w:sz w:val="18"/>
          <w:szCs w:val="18"/>
        </w:rPr>
      </w:pPr>
      <w:r w:rsidRPr="1318D97B" w:rsidR="09662EDB">
        <w:rPr>
          <w:sz w:val="18"/>
          <w:szCs w:val="18"/>
        </w:rPr>
        <w:t xml:space="preserve">Abhi </w:t>
      </w:r>
      <w:r w:rsidRPr="1318D97B" w:rsidR="001A3B3D">
        <w:rPr>
          <w:sz w:val="18"/>
          <w:szCs w:val="18"/>
        </w:rPr>
        <w:t xml:space="preserve"> </w:t>
      </w:r>
      <w:r>
        <w:br/>
      </w:r>
      <w:r w:rsidRPr="1318D97B" w:rsidR="2C3CA8F7">
        <w:rPr>
          <w:sz w:val="18"/>
          <w:szCs w:val="18"/>
        </w:rPr>
        <w:t>Thaker</w:t>
      </w:r>
    </w:p>
    <w:p w:rsidR="1318D97B" w:rsidP="1318D97B" w:rsidRDefault="1318D97B" w14:paraId="299E64A5" w14:textId="753641DA">
      <w:pPr>
        <w:pStyle w:val="Author"/>
        <w:suppressLineNumbers w:val="0"/>
        <w:bidi w:val="0"/>
        <w:spacing w:beforeAutospacing="1" w:after="2pt" w:afterAutospacing="0" w:line="12.95pt" w:lineRule="auto"/>
        <w:ind w:start="0pt" w:end="0pt"/>
        <w:jc w:val="center"/>
        <w:rPr>
          <w:sz w:val="18"/>
          <w:szCs w:val="18"/>
        </w:rPr>
      </w:pPr>
    </w:p>
    <w:p w:rsidRPr="00F847A6" w:rsidR="001A3B3D" w:rsidP="1318D97B" w:rsidRDefault="00447BB9" w14:paraId="1FCCE042" w14:textId="201765C3">
      <w:pPr>
        <w:pStyle w:val="Author"/>
        <w:suppressLineNumbers w:val="0"/>
        <w:bidi w:val="0"/>
        <w:spacing w:beforeAutospacing="1" w:after="2pt" w:afterAutospacing="0" w:line="12.95pt" w:lineRule="auto"/>
        <w:ind w:start="0pt" w:end="0pt"/>
        <w:jc w:val="center"/>
        <w:rPr>
          <w:sz w:val="18"/>
          <w:szCs w:val="18"/>
        </w:rPr>
      </w:pPr>
      <w:r w:rsidRPr="1318D97B" w:rsidR="4F9345D1">
        <w:rPr>
          <w:sz w:val="18"/>
          <w:szCs w:val="18"/>
        </w:rPr>
        <w:t>Mohit</w:t>
      </w:r>
      <w:r>
        <w:br/>
      </w:r>
      <w:r w:rsidRPr="1318D97B" w:rsidR="2E028DEA">
        <w:rPr>
          <w:sz w:val="18"/>
          <w:szCs w:val="18"/>
        </w:rPr>
        <w:t>Rathod</w:t>
      </w:r>
      <w:r w:rsidRPr="1318D97B">
        <w:rPr>
          <w:sz w:val="18"/>
          <w:szCs w:val="18"/>
        </w:rPr>
        <w:br w:type="column"/>
      </w:r>
      <w:r w:rsidRPr="1318D97B" w:rsidR="1EB33E38">
        <w:rPr>
          <w:sz w:val="18"/>
          <w:szCs w:val="18"/>
        </w:rPr>
        <w:t>Ayushi</w:t>
      </w:r>
      <w:r>
        <w:br/>
      </w:r>
      <w:r w:rsidRPr="1318D97B" w:rsidR="371A889B">
        <w:rPr>
          <w:sz w:val="18"/>
          <w:szCs w:val="18"/>
        </w:rPr>
        <w:t>Arora</w:t>
      </w:r>
    </w:p>
    <w:p w:rsidR="00447BB9" w:rsidP="1318D97B" w:rsidRDefault="00447BB9" w14:paraId="52DD05F5" w14:textId="7A70B970">
      <w:pPr>
        <w:pStyle w:val="Author"/>
        <w:suppressLineNumbers w:val="0"/>
        <w:bidi w:val="0"/>
        <w:spacing w:beforeAutospacing="1" w:after="2pt" w:afterAutospacing="0" w:line="12.95pt" w:lineRule="auto"/>
        <w:ind w:start="0pt" w:end="0pt"/>
        <w:jc w:val="center"/>
        <w:rPr>
          <w:sz w:val="18"/>
          <w:szCs w:val="18"/>
        </w:rPr>
      </w:pPr>
    </w:p>
    <w:p w:rsidR="00447BB9" w:rsidP="3AD5214A" w:rsidRDefault="00447BB9" w14:paraId="29EF2BA6" w14:textId="57B8674A">
      <w:pPr>
        <w:pStyle w:val="Author"/>
        <w:suppressLineNumbers w:val="0"/>
        <w:bidi w:val="0"/>
        <w:spacing w:beforeAutospacing="1" w:after="2pt" w:afterAutospacing="0" w:line="12.95pt" w:lineRule="auto"/>
        <w:ind w:start="0pt" w:end="0pt"/>
        <w:jc w:val="center"/>
        <w:rPr>
          <w:sz w:val="18"/>
          <w:szCs w:val="18"/>
        </w:rPr>
      </w:pPr>
      <w:r w:rsidRPr="3AD5214A" w:rsidR="4A634360">
        <w:rPr>
          <w:sz w:val="18"/>
          <w:szCs w:val="18"/>
        </w:rPr>
        <w:t>Ruchi</w:t>
      </w:r>
      <w:r>
        <w:br/>
      </w:r>
      <w:r w:rsidRPr="3AD5214A" w:rsidR="23829B2D">
        <w:rPr>
          <w:sz w:val="18"/>
          <w:szCs w:val="18"/>
        </w:rPr>
        <w:t>Tiwar</w:t>
      </w:r>
      <w:r w:rsidRPr="3AD5214A" w:rsidR="0B3B3986">
        <w:rPr>
          <w:sz w:val="18"/>
          <w:szCs w:val="18"/>
        </w:rPr>
        <w:t>i</w:t>
      </w:r>
      <w:r w:rsidRPr="3AD5214A">
        <w:rPr>
          <w:sz w:val="18"/>
          <w:szCs w:val="18"/>
        </w:rPr>
        <w:br w:type="column"/>
      </w:r>
      <w:r w:rsidRPr="3AD5214A" w:rsidR="623CBB4F">
        <w:rPr>
          <w:sz w:val="18"/>
          <w:szCs w:val="18"/>
        </w:rPr>
        <w:t>Bishwajit</w:t>
      </w:r>
      <w:r>
        <w:br/>
      </w:r>
      <w:r w:rsidRPr="3AD5214A" w:rsidR="35D7388A">
        <w:rPr>
          <w:sz w:val="18"/>
          <w:szCs w:val="18"/>
        </w:rPr>
        <w:t>Dutta</w:t>
      </w:r>
    </w:p>
    <w:p w:rsidR="00447BB9" w:rsidP="1318D97B" w:rsidRDefault="00447BB9" w14:paraId="2729A11B" w14:textId="4A37E912">
      <w:pPr>
        <w:pStyle w:val="Author"/>
        <w:spacing w:before="5pt" w:beforeAutospacing="1"/>
      </w:pPr>
      <w:r w:rsidR="1318D97B">
        <w:rPr/>
        <w:t xml:space="preserve"> </w:t>
      </w:r>
    </w:p>
    <w:p w:rsidR="009F1D79" w:rsidRDefault="009F1D79" w14:paraId="0316535E" w14:textId="77777777">
      <w:pPr>
        <w:sectPr w:rsidR="009F1D79" w:rsidSect="003B4E04">
          <w:type w:val="continuous"/>
          <w:pgSz w:w="595.3pt" w:h="841.9pt" w:orient="portrait" w:code="9"/>
          <w:pgMar w:top="22.5pt" w:right="44.65pt" w:bottom="72pt" w:left="44.65pt" w:header="36pt" w:footer="36pt" w:gutter="0pt"/>
          <w:cols w:space="720" w:num="3"/>
          <w:docGrid w:linePitch="360"/>
          <w:headerReference w:type="default" r:id="R8dcf328e854140bd"/>
        </w:sectPr>
      </w:pPr>
    </w:p>
    <w:p w:rsidRPr="005B520E" w:rsidR="009303D9" w:rsidRDefault="00BD670B" w14:paraId="0A88E65D" w14:textId="77777777">
      <w:pPr>
        <w:sectPr w:rsidRPr="005B520E" w:rsidR="009303D9" w:rsidSect="003B4E04">
          <w:type w:val="continuous"/>
          <w:pgSz w:w="595.3pt" w:h="841.9pt" w:orient="portrait" w:code="9"/>
          <w:pgMar w:top="22.5pt" w:right="44.65pt" w:bottom="72pt" w:left="44.65pt" w:header="36pt" w:footer="36pt" w:gutter="0pt"/>
          <w:cols w:space="720" w:num="3"/>
          <w:docGrid w:linePitch="360"/>
          <w:headerReference w:type="default" r:id="R3250cefc32d64f42"/>
        </w:sectPr>
      </w:pPr>
      <w:r>
        <w:br w:type="column"/>
      </w:r>
    </w:p>
    <w:p w:rsidR="1318D97B" w:rsidP="1318D97B" w:rsidRDefault="1318D97B" w14:paraId="2EC83445" w14:textId="4024A9D7">
      <w:pPr>
        <w:pStyle w:val="Abstract"/>
        <w:rPr>
          <w:i w:val="1"/>
          <w:iCs w:val="1"/>
        </w:rPr>
      </w:pPr>
    </w:p>
    <w:p w:rsidR="1318D97B" w:rsidP="1318D97B" w:rsidRDefault="1318D97B" w14:paraId="7B7E7260" w14:textId="508D245C">
      <w:pPr>
        <w:pStyle w:val="Abstract"/>
        <w:rPr>
          <w:i w:val="1"/>
          <w:iCs w:val="1"/>
        </w:rPr>
      </w:pPr>
    </w:p>
    <w:p w:rsidRPr="004D72B5" w:rsidR="009303D9" w:rsidP="00972203" w:rsidRDefault="004D72B5" w14:paraId="58B10678" w14:textId="150833AF">
      <w:pPr>
        <w:pStyle w:val="Keywords"/>
      </w:pPr>
      <w:r w:rsidR="394F5523">
        <w:rPr/>
        <w:t xml:space="preserve">This study outlines a comprehensive, model-driven framework for time series forecasting using stock price data from Toronto Dominion (TD) Bank. The </w:t>
      </w:r>
      <w:r w:rsidR="394F5523">
        <w:rPr/>
        <w:t>methodology</w:t>
      </w:r>
      <w:r w:rsidR="394F5523">
        <w:rPr/>
        <w:t xml:space="preserve"> spans exploratory data analysis (EDA), time series decomposition, and a comparative evaluation of forecasting models: ARIMA, Exponential Smoothing (ETS), Prophet, and Long Short-Term Memory (LSTM). An interactive </w:t>
      </w:r>
      <w:r w:rsidR="394F5523">
        <w:rPr/>
        <w:t>Streamlit</w:t>
      </w:r>
      <w:r w:rsidR="394F5523">
        <w:rPr/>
        <w:t xml:space="preserve"> web application is developed to enable user-friendly forecasting and visualization. The project emphasizes rigorous statistical evaluation and business insights applicable to finance and related domains.</w:t>
      </w:r>
    </w:p>
    <w:p w:rsidRPr="00D632BE" w:rsidR="009303D9" w:rsidP="006B6B66" w:rsidRDefault="009303D9" w14:paraId="1A521F3C" w14:textId="61867386">
      <w:pPr>
        <w:pStyle w:val="Heading1"/>
        <w:rPr/>
      </w:pPr>
      <w:r w:rsidR="3AD5214A">
        <w:rPr/>
        <w:t xml:space="preserve">Introduction </w:t>
      </w:r>
    </w:p>
    <w:p w:rsidRPr="005B520E" w:rsidR="009303D9" w:rsidP="00E7596C" w:rsidRDefault="009303D9" w14:paraId="5B84FB04" w14:textId="3DA85448">
      <w:pPr>
        <w:pStyle w:val="BodyText"/>
      </w:pPr>
      <w:r w:rsidR="238689BF">
        <w:rPr/>
        <w:t xml:space="preserve">Forecasting time series data plays a vital role in financial decision-making, inventory control, healthcare planning, and more. This project uses historical stock closing prices of TD Bank, sourced from Yahoo </w:t>
      </w:r>
      <w:r w:rsidR="75376CBB">
        <w:rPr/>
        <w:t>Finance[1]</w:t>
      </w:r>
      <w:r w:rsidR="238689BF">
        <w:rPr/>
        <w:t xml:space="preserve">, to analyze trends, seasonality, and future value prediction. Our goals are threefold: (1) conduct comprehensive EDA, (2) decompose the time series using both additive and multiplicative models, and (3) compare multiple forecasting models via a web app built using </w:t>
      </w:r>
      <w:r w:rsidR="238689BF">
        <w:rPr/>
        <w:t>Streamlit</w:t>
      </w:r>
      <w:r w:rsidR="238689BF">
        <w:rPr/>
        <w:t>. These steps not only help enhance forecasting accuracy but also create a modular system adaptable for other domains.</w:t>
      </w:r>
    </w:p>
    <w:p w:rsidRPr="006B6B66" w:rsidR="009303D9" w:rsidP="006B6B66" w:rsidRDefault="009303D9" w14:paraId="179EA777" w14:textId="69D9E450">
      <w:pPr>
        <w:pStyle w:val="Heading1"/>
        <w:rPr/>
      </w:pPr>
      <w:r w:rsidR="238689BF">
        <w:rPr/>
        <w:t>Dataset and Exploratory Data Analysis</w:t>
      </w:r>
    </w:p>
    <w:p w:rsidR="009303D9" w:rsidP="00ED0149" w:rsidRDefault="009303D9" w14:paraId="3C8B3FFF" w14:textId="3A729AE3">
      <w:pPr>
        <w:pStyle w:val="Heading2"/>
        <w:rPr/>
      </w:pPr>
      <w:r w:rsidR="238689BF">
        <w:rPr/>
        <w:t>Dataset Description</w:t>
      </w:r>
    </w:p>
    <w:p w:rsidRPr="005B520E" w:rsidR="009303D9" w:rsidP="00E7596C" w:rsidRDefault="009303D9" w14:paraId="0DF9A144" w14:textId="4836B2BF">
      <w:pPr>
        <w:pStyle w:val="BodyText"/>
      </w:pPr>
      <w:r w:rsidR="238689BF">
        <w:rPr/>
        <w:t xml:space="preserve">The dataset </w:t>
      </w:r>
      <w:r w:rsidR="238689BF">
        <w:rPr/>
        <w:t>comprises</w:t>
      </w:r>
      <w:r w:rsidR="238689BF">
        <w:rPr/>
        <w:t xml:space="preserve"> daily </w:t>
      </w:r>
      <w:r w:rsidR="36E432D6">
        <w:rPr/>
        <w:t>opening-</w:t>
      </w:r>
      <w:r w:rsidR="238689BF">
        <w:rPr/>
        <w:t>closing prices from 20</w:t>
      </w:r>
      <w:r w:rsidR="1106F798">
        <w:rPr/>
        <w:t>20</w:t>
      </w:r>
      <w:r w:rsidR="238689BF">
        <w:rPr/>
        <w:t xml:space="preserve"> to 202</w:t>
      </w:r>
      <w:r w:rsidR="3F4D6446">
        <w:rPr/>
        <w:t>5</w:t>
      </w:r>
      <w:r w:rsidR="238689BF">
        <w:rPr/>
        <w:t>, which we aggregate into monthly averages to stabilize variance and reduce short-term volatility. This transformation improves interpretability for long-term trend analysis.</w:t>
      </w:r>
    </w:p>
    <w:p w:rsidRPr="005B520E" w:rsidR="009303D9" w:rsidP="3AD5214A" w:rsidRDefault="009303D9" w14:paraId="176641ED" w14:textId="2955D276">
      <w:pPr>
        <w:pStyle w:val="BodyText"/>
        <w:numPr>
          <w:ilvl w:val="0"/>
          <w:numId w:val="25"/>
        </w:numPr>
        <w:rPr/>
      </w:pPr>
      <w:r w:rsidR="238689BF">
        <w:rPr/>
        <w:t>Source: Yahoo Finance via CSV download</w:t>
      </w:r>
    </w:p>
    <w:p w:rsidRPr="005B520E" w:rsidR="009303D9" w:rsidP="3AD5214A" w:rsidRDefault="009303D9" w14:paraId="4522E337" w14:textId="4B960098">
      <w:pPr>
        <w:pStyle w:val="BodyText"/>
        <w:numPr>
          <w:ilvl w:val="0"/>
          <w:numId w:val="25"/>
        </w:numPr>
        <w:rPr/>
      </w:pPr>
      <w:r w:rsidR="238689BF">
        <w:rPr/>
        <w:t>Attributes: Date (timestamp), Close (closing stock price)</w:t>
      </w:r>
      <w:r w:rsidR="372452D5">
        <w:rPr/>
        <w:t>, Open (opening stock price), High, Low.</w:t>
      </w:r>
    </w:p>
    <w:p w:rsidR="6BAF74DB" w:rsidP="3AD5214A" w:rsidRDefault="6BAF74DB" w14:paraId="4E1E7CC1" w14:textId="0EB6A177">
      <w:pPr>
        <w:pStyle w:val="BodyText"/>
        <w:numPr>
          <w:ilvl w:val="0"/>
          <w:numId w:val="25"/>
        </w:numPr>
        <w:rPr/>
      </w:pPr>
      <w:r w:rsidR="6BAF74DB">
        <w:rPr/>
        <w:t>Frequency: Daily, aggregated to monthly for modeling stability</w:t>
      </w:r>
    </w:p>
    <w:p w:rsidRPr="005B520E" w:rsidR="009303D9" w:rsidP="3AD5214A" w:rsidRDefault="009303D9" w14:paraId="0C805459" w14:textId="05C68CE6">
      <w:pPr>
        <w:pStyle w:val="Heading2"/>
        <w:rPr/>
      </w:pPr>
      <w:r w:rsidR="69B6041F">
        <w:rPr/>
        <w:t>Visualization</w:t>
      </w:r>
      <w:r w:rsidR="3AD5214A">
        <w:rPr/>
        <w:t>s</w:t>
      </w:r>
    </w:p>
    <w:p w:rsidRPr="005B520E" w:rsidR="009303D9" w:rsidP="3AD5214A" w:rsidRDefault="009303D9" w14:paraId="788216BB" w14:textId="33ED168D">
      <w:pPr>
        <w:spacing w:before="12pt" w:beforeAutospacing="0" w:after="12pt" w:afterAutospacing="0"/>
        <w:jc w:val="both"/>
      </w:pPr>
      <w:r w:rsidRPr="3AD5214A" w:rsidR="4572758A">
        <w:rPr>
          <w:noProof w:val="0"/>
          <w:lang w:val="en-US"/>
        </w:rPr>
        <w:t xml:space="preserve">The first step in the exploratory data analysis (EDA) involved visualizing the monthly closing prices of the TD </w:t>
      </w:r>
    </w:p>
    <w:p w:rsidRPr="005B520E" w:rsidR="009303D9" w:rsidP="3AD5214A" w:rsidRDefault="009303D9" w14:paraId="5017C02A" w14:textId="2F8B796E">
      <w:pPr>
        <w:spacing w:before="12pt" w:beforeAutospacing="0" w:after="12pt" w:afterAutospacing="0"/>
        <w:jc w:val="both"/>
        <w:rPr>
          <w:noProof w:val="0"/>
          <w:lang w:val="en-US"/>
        </w:rPr>
      </w:pPr>
    </w:p>
    <w:p w:rsidRPr="005B520E" w:rsidR="009303D9" w:rsidP="3AD5214A" w:rsidRDefault="009303D9" w14:paraId="7C5D0763" w14:textId="0D1891DD">
      <w:pPr>
        <w:spacing w:before="12pt" w:beforeAutospacing="0" w:after="12pt" w:afterAutospacing="0"/>
        <w:jc w:val="both"/>
      </w:pPr>
      <w:r w:rsidRPr="3AD5214A" w:rsidR="4572758A">
        <w:rPr>
          <w:noProof w:val="0"/>
          <w:lang w:val="en-US"/>
        </w:rPr>
        <w:t xml:space="preserve">Bank stock. A time series plot was generated using the matplotlib library. The graph revealed a clear upward trend over the five-year period, with occasional drops corresponding to major economic disruptions, such as the COVID-19 pandemic. These visual insights helped </w:t>
      </w:r>
      <w:r w:rsidRPr="3AD5214A" w:rsidR="4572758A">
        <w:rPr>
          <w:noProof w:val="0"/>
          <w:lang w:val="en-US"/>
        </w:rPr>
        <w:t>establish</w:t>
      </w:r>
      <w:r w:rsidRPr="3AD5214A" w:rsidR="4572758A">
        <w:rPr>
          <w:noProof w:val="0"/>
          <w:lang w:val="en-US"/>
        </w:rPr>
        <w:t xml:space="preserve"> the presence of long-term growth and possible cyclic behavior in </w:t>
      </w:r>
      <w:r w:rsidRPr="3AD5214A" w:rsidR="4572758A">
        <w:rPr>
          <w:noProof w:val="0"/>
          <w:lang w:val="en-US"/>
        </w:rPr>
        <w:t>stock</w:t>
      </w:r>
      <w:r w:rsidRPr="3AD5214A" w:rsidR="4572758A">
        <w:rPr>
          <w:noProof w:val="0"/>
          <w:lang w:val="en-US"/>
        </w:rPr>
        <w:t xml:space="preserve"> prices</w:t>
      </w:r>
      <w:r w:rsidRPr="3AD5214A" w:rsidR="2C5A405F">
        <w:rPr>
          <w:noProof w:val="0"/>
          <w:lang w:val="en-US"/>
        </w:rPr>
        <w:t>.</w:t>
      </w:r>
    </w:p>
    <w:p w:rsidR="4274674C" w:rsidP="3AD5214A" w:rsidRDefault="4274674C" w14:paraId="4E7E461E" w14:textId="3B30C98B">
      <w:pPr>
        <w:spacing w:before="12pt" w:beforeAutospacing="0" w:after="12pt" w:afterAutospacing="0"/>
        <w:jc w:val="both"/>
      </w:pPr>
      <w:r w:rsidR="4274674C">
        <w:drawing>
          <wp:inline wp14:editId="513E93A4" wp14:anchorId="3260A005">
            <wp:extent cx="2950030" cy="1461401"/>
            <wp:effectExtent l="0" t="0" r="0" b="0"/>
            <wp:docPr id="1604416590" name="drawing"/>
            <wp:cNvGraphicFramePr>
              <a:graphicFrameLocks noChangeAspect="1"/>
            </wp:cNvGraphicFramePr>
            <a:graphic>
              <a:graphicData xmlns:a="http://purl.oclc.org/ooxml/drawingml/main" uri="http://schemas.openxmlformats.org/drawingml/2006/picture">
                <pic:pic xmlns:pic="http://purl.oclc.org/ooxml/drawingml/picture">
                  <pic:nvPicPr>
                    <pic:cNvPr id="1604416590" name=""/>
                    <pic:cNvPicPr/>
                  </pic:nvPicPr>
                  <pic:blipFill>
                    <a:blip xmlns:r="http://purl.oclc.org/ooxml/officeDocument/relationships" r:embed="rId1585199741">
                      <a:extLst>
                        <a:ext uri="{28A0092B-C50C-407E-A947-70E740481C1C}">
                          <a14:useLocalDpi xmlns:a14="http://schemas.microsoft.com/office/drawing/2010/main"/>
                        </a:ext>
                      </a:extLst>
                    </a:blip>
                    <a:stretch>
                      <a:fillRect/>
                    </a:stretch>
                  </pic:blipFill>
                  <pic:spPr>
                    <a:xfrm rot="0">
                      <a:off x="0" y="0"/>
                      <a:ext cx="2950030" cy="1461401"/>
                    </a:xfrm>
                    <a:prstGeom prst="rect">
                      <a:avLst/>
                    </a:prstGeom>
                  </pic:spPr>
                </pic:pic>
              </a:graphicData>
            </a:graphic>
          </wp:inline>
        </w:drawing>
      </w:r>
      <w:r w:rsidR="42573418">
        <w:rPr/>
        <w:t>Fig. 1. Time Series Plot</w:t>
      </w:r>
    </w:p>
    <w:p w:rsidR="05837CA4" w:rsidP="3AD5214A" w:rsidRDefault="05837CA4" w14:paraId="7048612C" w14:textId="404A422F">
      <w:pPr>
        <w:pStyle w:val="Heading2"/>
        <w:rPr/>
      </w:pPr>
      <w:r w:rsidR="05837CA4">
        <w:rPr/>
        <w:t>Missing Values and Outlier Detection</w:t>
      </w:r>
    </w:p>
    <w:p w:rsidRPr="005B520E" w:rsidR="009303D9" w:rsidP="3AD5214A" w:rsidRDefault="009303D9" w14:paraId="21C51E20" w14:textId="7E7E2A85">
      <w:pPr>
        <w:pStyle w:val="BodyText"/>
        <w:rPr>
          <w:lang w:val="en-US"/>
        </w:rPr>
      </w:pPr>
      <w:r w:rsidR="42F21025">
        <w:rPr/>
        <w:t>Upon</w:t>
      </w:r>
      <w:r w:rsidR="42F21025">
        <w:rPr/>
        <w:t xml:space="preserve"> loading the dataset, we examined it for missing entries. Fortunately, the data was </w:t>
      </w:r>
      <w:r w:rsidR="42F21025">
        <w:rPr/>
        <w:t>largely complete</w:t>
      </w:r>
      <w:r w:rsidR="42F21025">
        <w:rPr/>
        <w:t xml:space="preserve">, with very few null values, which we handled using forward-filling techniques. We then checked for outliers using the Interquartile Range (IQR) method, which flagged extreme values that could </w:t>
      </w:r>
      <w:r w:rsidR="42F21025">
        <w:rPr/>
        <w:t>represent</w:t>
      </w:r>
      <w:r w:rsidR="42F21025">
        <w:rPr/>
        <w:t xml:space="preserve"> anomalies such as market shocks or data collection errors. These outliers, visible as sudden spikes or drops in the graph, typically occurred during earnings seasons or global market corrections. Rather than </w:t>
      </w:r>
      <w:r w:rsidR="42F21025">
        <w:rPr/>
        <w:t>eliminating</w:t>
      </w:r>
      <w:r w:rsidR="42F21025">
        <w:rPr/>
        <w:t xml:space="preserve"> these points, we </w:t>
      </w:r>
      <w:r w:rsidR="42F21025">
        <w:rPr/>
        <w:t>retained</w:t>
      </w:r>
      <w:r w:rsidR="42F21025">
        <w:rPr/>
        <w:t xml:space="preserve"> them to </w:t>
      </w:r>
      <w:r w:rsidR="42F21025">
        <w:rPr/>
        <w:t>maintain</w:t>
      </w:r>
      <w:r w:rsidR="42F21025">
        <w:rPr/>
        <w:t xml:space="preserve"> the integrity of the market’s real-world behavior.</w:t>
      </w:r>
    </w:p>
    <w:p w:rsidR="42F21025" w:rsidP="3AD5214A" w:rsidRDefault="42F21025" w14:paraId="63D4EC85" w14:textId="68097768">
      <w:pPr>
        <w:jc w:val="start"/>
      </w:pPr>
      <w:r w:rsidR="42F21025">
        <w:drawing>
          <wp:inline wp14:editId="5B13D0F6" wp14:anchorId="7C5AFDBA">
            <wp:extent cx="2931826" cy="1452381"/>
            <wp:effectExtent l="0" t="0" r="0" b="0"/>
            <wp:docPr id="369049822" name="drawing"/>
            <wp:cNvGraphicFramePr>
              <a:graphicFrameLocks noChangeAspect="1"/>
            </wp:cNvGraphicFramePr>
            <a:graphic>
              <a:graphicData xmlns:a="http://purl.oclc.org/ooxml/drawingml/main" uri="http://schemas.openxmlformats.org/drawingml/2006/picture">
                <pic:pic xmlns:pic="http://purl.oclc.org/ooxml/drawingml/picture">
                  <pic:nvPicPr>
                    <pic:cNvPr id="369049822" name=""/>
                    <pic:cNvPicPr/>
                  </pic:nvPicPr>
                  <pic:blipFill>
                    <a:blip xmlns:r="http://purl.oclc.org/ooxml/officeDocument/relationships" r:embed="rId1110100806">
                      <a:extLst>
                        <a:ext uri="{28A0092B-C50C-407E-A947-70E740481C1C}">
                          <a14:useLocalDpi xmlns:a14="http://schemas.microsoft.com/office/drawing/2010/main"/>
                        </a:ext>
                      </a:extLst>
                    </a:blip>
                    <a:stretch>
                      <a:fillRect/>
                    </a:stretch>
                  </pic:blipFill>
                  <pic:spPr>
                    <a:xfrm rot="0">
                      <a:off x="0" y="0"/>
                      <a:ext cx="2931826" cy="1452381"/>
                    </a:xfrm>
                    <a:prstGeom prst="rect">
                      <a:avLst/>
                    </a:prstGeom>
                  </pic:spPr>
                </pic:pic>
              </a:graphicData>
            </a:graphic>
          </wp:inline>
        </w:drawing>
      </w:r>
      <w:r w:rsidR="2C1752A4">
        <w:rPr/>
        <w:t>Fig. 2. Outlier Detection</w:t>
      </w:r>
    </w:p>
    <w:p w:rsidR="4B83CC6E" w:rsidP="3AD5214A" w:rsidRDefault="4B83CC6E" w14:paraId="3F28A3F0" w14:textId="113CFCFE">
      <w:pPr>
        <w:pStyle w:val="Heading2"/>
        <w:rPr/>
      </w:pPr>
      <w:r w:rsidR="4B83CC6E">
        <w:rPr/>
        <w:t>Stationarity and Differencing</w:t>
      </w:r>
    </w:p>
    <w:p w:rsidR="4B83CC6E" w:rsidP="3AD5214A" w:rsidRDefault="4B83CC6E" w14:paraId="52031B32" w14:textId="4773B7A8">
      <w:pPr>
        <w:pStyle w:val="BodyText"/>
      </w:pPr>
      <w:r w:rsidR="4B83CC6E">
        <w:rPr/>
        <w:t xml:space="preserve">To assess the stationarity of the series, we </w:t>
      </w:r>
      <w:r w:rsidR="4B83CC6E">
        <w:rPr/>
        <w:t>applied for</w:t>
      </w:r>
      <w:r w:rsidR="4B83CC6E">
        <w:rPr/>
        <w:t xml:space="preserve"> the Augmented Dickey-Fuller (ADF) test. The test on the original series yielded an ADF statistic of -2.79 with a p-value of 0.0597, </w:t>
      </w:r>
      <w:r w:rsidR="4B83CC6E">
        <w:rPr/>
        <w:t>indicating</w:t>
      </w:r>
      <w:r w:rsidR="4B83CC6E">
        <w:rPr/>
        <w:t xml:space="preserve"> non-stationarity. After applying first-order differencing, the ADF statistic dropped to -33.85 with a p-value of 0.0000, confirming that the transformed series was stationary and suitable for ARIMA modeling.</w:t>
      </w:r>
    </w:p>
    <w:p w:rsidR="72FCAF57" w:rsidP="3AD5214A" w:rsidRDefault="72FCAF57" w14:paraId="7CCEF074" w14:textId="6456F7BB">
      <w:pPr>
        <w:pStyle w:val="BodyText"/>
        <w:jc w:val="both"/>
      </w:pPr>
      <w:r w:rsidR="72FCAF57">
        <w:rPr/>
        <w:t>Before:</w:t>
      </w:r>
    </w:p>
    <w:p w:rsidR="72FCAF57" w:rsidP="3AD5214A" w:rsidRDefault="72FCAF57" w14:paraId="72428438" w14:textId="7F492360">
      <w:pPr>
        <w:jc w:val="start"/>
      </w:pPr>
      <w:r w:rsidR="72FCAF57">
        <w:drawing>
          <wp:inline wp14:editId="64028671" wp14:anchorId="14F2BC3D">
            <wp:extent cx="3095625" cy="609600"/>
            <wp:effectExtent l="0" t="0" r="0" b="0"/>
            <wp:docPr id="2066158240" name="drawing"/>
            <wp:cNvGraphicFramePr>
              <a:graphicFrameLocks noChangeAspect="1"/>
            </wp:cNvGraphicFramePr>
            <a:graphic>
              <a:graphicData xmlns:a="http://purl.oclc.org/ooxml/drawingml/main" uri="http://schemas.openxmlformats.org/drawingml/2006/picture">
                <pic:pic xmlns:pic="http://purl.oclc.org/ooxml/drawingml/picture">
                  <pic:nvPicPr>
                    <pic:cNvPr id="2066158240" name=""/>
                    <pic:cNvPicPr/>
                  </pic:nvPicPr>
                  <pic:blipFill>
                    <a:blip xmlns:r="http://purl.oclc.org/ooxml/officeDocument/relationships" r:embed="rId1711710611">
                      <a:extLst>
                        <a:ext xmlns:a="http://purl.oclc.org/ooxml/drawingml/main" uri="{28A0092B-C50C-407E-A947-70E740481C1C}">
                          <a14:useLocalDpi xmlns:a14="http://schemas.microsoft.com/office/drawing/2010/main" val="0"/>
                        </a:ext>
                      </a:extLst>
                    </a:blip>
                    <a:stretch>
                      <a:fillRect/>
                    </a:stretch>
                  </pic:blipFill>
                  <pic:spPr>
                    <a:xfrm>
                      <a:off x="0" y="0"/>
                      <a:ext cx="3095625" cy="609600"/>
                    </a:xfrm>
                    <a:prstGeom prst="rect">
                      <a:avLst/>
                    </a:prstGeom>
                  </pic:spPr>
                </pic:pic>
              </a:graphicData>
            </a:graphic>
          </wp:inline>
        </w:drawing>
      </w:r>
      <w:r w:rsidR="7EEF7383">
        <w:rPr/>
        <w:t>Fig. 3. ADF before smoothing</w:t>
      </w:r>
      <w:r w:rsidR="578FE3A7">
        <w:rPr/>
        <w:t xml:space="preserve"> </w:t>
      </w:r>
    </w:p>
    <w:p w:rsidR="3AD5214A" w:rsidP="3AD5214A" w:rsidRDefault="3AD5214A" w14:paraId="114C698B" w14:textId="366DDEA7">
      <w:pPr>
        <w:ind w:firstLine="13.5pt"/>
        <w:jc w:val="both"/>
      </w:pPr>
    </w:p>
    <w:p w:rsidR="72FCAF57" w:rsidP="3AD5214A" w:rsidRDefault="72FCAF57" w14:paraId="1D59BAE3" w14:textId="4B95FB40">
      <w:pPr>
        <w:ind w:firstLine="13.5pt"/>
        <w:jc w:val="both"/>
      </w:pPr>
      <w:r w:rsidR="72FCAF57">
        <w:rPr/>
        <w:t xml:space="preserve">After: </w:t>
      </w:r>
    </w:p>
    <w:p w:rsidR="3175C6CA" w:rsidP="3AD5214A" w:rsidRDefault="3175C6CA" w14:paraId="0500B3CF" w14:textId="57A7405D">
      <w:pPr>
        <w:jc w:val="both"/>
      </w:pPr>
      <w:r w:rsidR="3175C6CA">
        <w:drawing>
          <wp:inline wp14:editId="3065C178" wp14:anchorId="4E47D1B9">
            <wp:extent cx="3095625" cy="733425"/>
            <wp:effectExtent l="0" t="0" r="0" b="0"/>
            <wp:docPr id="1549813469" name="drawing"/>
            <wp:cNvGraphicFramePr>
              <a:graphicFrameLocks noChangeAspect="1"/>
            </wp:cNvGraphicFramePr>
            <a:graphic>
              <a:graphicData xmlns:a="http://purl.oclc.org/ooxml/drawingml/main" uri="http://schemas.openxmlformats.org/drawingml/2006/picture">
                <pic:pic xmlns:pic="http://purl.oclc.org/ooxml/drawingml/picture">
                  <pic:nvPicPr>
                    <pic:cNvPr id="1549813469" name=""/>
                    <pic:cNvPicPr/>
                  </pic:nvPicPr>
                  <pic:blipFill>
                    <a:blip xmlns:r="http://purl.oclc.org/ooxml/officeDocument/relationships" r:embed="rId1740517365">
                      <a:extLst>
                        <a:ext xmlns:a="http://purl.oclc.org/ooxml/drawingml/main" uri="{28A0092B-C50C-407E-A947-70E740481C1C}">
                          <a14:useLocalDpi xmlns:a14="http://schemas.microsoft.com/office/drawing/2010/main" val="0"/>
                        </a:ext>
                      </a:extLst>
                    </a:blip>
                    <a:stretch>
                      <a:fillRect/>
                    </a:stretch>
                  </pic:blipFill>
                  <pic:spPr>
                    <a:xfrm>
                      <a:off x="0" y="0"/>
                      <a:ext cx="3095625" cy="733425"/>
                    </a:xfrm>
                    <a:prstGeom prst="rect">
                      <a:avLst/>
                    </a:prstGeom>
                  </pic:spPr>
                </pic:pic>
              </a:graphicData>
            </a:graphic>
          </wp:inline>
        </w:drawing>
      </w:r>
      <w:r w:rsidR="1E33C3F8">
        <w:rPr/>
        <w:t>Fig. 4. ADF after smoothing</w:t>
      </w:r>
    </w:p>
    <w:p w:rsidR="009303D9" w:rsidP="00ED0149" w:rsidRDefault="009303D9" w14:paraId="22217789" w14:textId="45F57CB2">
      <w:pPr>
        <w:pStyle w:val="Heading2"/>
        <w:rPr/>
      </w:pPr>
      <w:r w:rsidR="3175C6CA">
        <w:rPr/>
        <w:t>Need for Smoothing</w:t>
      </w:r>
    </w:p>
    <w:p w:rsidRPr="005B520E" w:rsidR="009303D9" w:rsidP="00E7596C" w:rsidRDefault="009303D9" w14:paraId="2F3F25C7" w14:textId="43A7A150">
      <w:pPr>
        <w:pStyle w:val="BodyText"/>
      </w:pPr>
      <w:r w:rsidR="3175C6CA">
        <w:rPr/>
        <w:t xml:space="preserve">Although smoothing was not central to this project, rolling averages were considered during exploratory analysis. However, due to the preference for decomposition and differencing in the modeling phase, smoothing was not applied further. Nonetheless, it </w:t>
      </w:r>
      <w:r w:rsidR="3175C6CA">
        <w:rPr/>
        <w:t>remains</w:t>
      </w:r>
      <w:r w:rsidR="3175C6CA">
        <w:rPr/>
        <w:t xml:space="preserve"> a valuable tool for visual trend assessment.</w:t>
      </w:r>
    </w:p>
    <w:p w:rsidRPr="005B520E" w:rsidR="009303D9" w:rsidP="3AD5214A" w:rsidRDefault="009303D9" w14:paraId="75446D9B" w14:textId="77E059CE">
      <w:pPr>
        <w:pStyle w:val="Heading2"/>
        <w:suppressLineNumbers w:val="0"/>
        <w:bidi w:val="0"/>
        <w:spacing w:before="6pt" w:beforeAutospacing="0" w:after="3pt" w:afterAutospacing="0" w:line="12.95pt" w:lineRule="auto"/>
        <w:ind w:start="14.4pt" w:end="0pt" w:hanging="14.4pt"/>
        <w:jc w:val="center"/>
        <w:rPr/>
      </w:pPr>
      <w:r w:rsidR="3175C6CA">
        <w:rPr/>
        <w:t>External Factors</w:t>
      </w:r>
    </w:p>
    <w:p w:rsidR="3175C6CA" w:rsidP="3AD5214A" w:rsidRDefault="3175C6CA" w14:paraId="19A42E59" w14:textId="4C5CDECD">
      <w:pPr>
        <w:pStyle w:val="BodyText"/>
        <w:jc w:val="both"/>
      </w:pPr>
      <w:r w:rsidR="3175C6CA">
        <w:rPr/>
        <w:t xml:space="preserve">Stock prices are often influenced by external factors including macroeconomic indicators, earnings announcements, and geopolitical developments. In this project, Canadian public holidays were incorporated into the Prophet model using a built-in holiday calendar. This addition accounted for periods of low market activity or predictable investor behavior, enhancing the accuracy of forecasts during cyclical </w:t>
      </w:r>
      <w:r w:rsidR="3175C6CA">
        <w:rPr/>
        <w:t>lulls.</w:t>
      </w:r>
    </w:p>
    <w:p w:rsidR="009303D9" w:rsidP="006B6B66" w:rsidRDefault="009303D9" w14:paraId="5D2DD83B" w14:textId="3EEA2860">
      <w:pPr>
        <w:pStyle w:val="Heading1"/>
        <w:rPr/>
      </w:pPr>
      <w:r w:rsidR="3175C6CA">
        <w:rPr/>
        <w:t>Time Series Decomposition</w:t>
      </w:r>
    </w:p>
    <w:p w:rsidR="3175C6CA" w:rsidP="3AD5214A" w:rsidRDefault="3175C6CA" w14:paraId="00180B3E" w14:textId="5539F38D">
      <w:pPr>
        <w:pStyle w:val="BodyText"/>
      </w:pPr>
      <w:r w:rsidR="3175C6CA">
        <w:rPr/>
        <w:t>Time series decomposition was conducted using the seasonal_decompose function from the statsmodels library. The purpose was to separate the series into three components: trend, seasonality, and residual. This allowed us to study the structural behavior of the stock price series independently.</w:t>
      </w:r>
    </w:p>
    <w:p w:rsidR="009303D9" w:rsidP="00ED0149" w:rsidRDefault="009303D9" w14:paraId="550E2495" w14:textId="0A5DFCA1">
      <w:pPr>
        <w:pStyle w:val="Heading2"/>
        <w:rPr/>
      </w:pPr>
      <w:r w:rsidR="555374F6">
        <w:rPr/>
        <w:t>Additive and Multiplicative Models</w:t>
      </w:r>
    </w:p>
    <w:p w:rsidR="006F6D3D" w:rsidP="3AD5214A" w:rsidRDefault="006F6D3D" w14:paraId="25EBEBF4" w14:textId="2BB33993">
      <w:pPr>
        <w:pStyle w:val="BodyText"/>
      </w:pPr>
      <w:r w:rsidRPr="3AD5214A" w:rsidR="00354FCF">
        <w:rPr>
          <w:lang w:val="en-US"/>
        </w:rPr>
        <w:t xml:space="preserve"> </w:t>
      </w:r>
      <w:r w:rsidRPr="3AD5214A" w:rsidR="007D6232">
        <w:rPr>
          <w:lang w:val="en-US"/>
        </w:rPr>
        <w:t>A</w:t>
      </w:r>
      <w:r w:rsidRPr="3AD5214A" w:rsidR="0E8D8DFE">
        <w:rPr>
          <w:lang w:val="en-US"/>
        </w:rPr>
        <w:t xml:space="preserve"> To better understand the underlying structure of the TD Bank stock price series, we applied both additive and multiplicative</w:t>
      </w:r>
      <w:r w:rsidRPr="3AD5214A" w:rsidR="6464301A">
        <w:rPr>
          <w:lang w:val="en-US"/>
        </w:rPr>
        <w:t xml:space="preserve"> </w:t>
      </w:r>
      <w:r w:rsidRPr="3AD5214A" w:rsidR="0E8D8DFE">
        <w:rPr>
          <w:lang w:val="en-US"/>
        </w:rPr>
        <w:t xml:space="preserve">decomposition using the </w:t>
      </w:r>
      <w:r w:rsidRPr="3AD5214A" w:rsidR="0E8D8DFE">
        <w:rPr>
          <w:lang w:val="en-US"/>
        </w:rPr>
        <w:t>seasonal_decompose</w:t>
      </w:r>
      <w:r w:rsidRPr="3AD5214A" w:rsidR="0E8D8DFE">
        <w:rPr>
          <w:lang w:val="en-US"/>
        </w:rPr>
        <w:t>() function.</w:t>
      </w:r>
    </w:p>
    <w:p w:rsidR="006F6D3D" w:rsidP="3AD5214A" w:rsidRDefault="006F6D3D" w14:paraId="312A1B9D" w14:textId="5F75EC1F">
      <w:pPr>
        <w:pStyle w:val="BodyText"/>
      </w:pPr>
      <w:r w:rsidRPr="3AD5214A" w:rsidR="0E8D8DFE">
        <w:rPr>
          <w:lang w:val="en-US"/>
        </w:rPr>
        <w:t xml:space="preserve">In the additive model (see Figure </w:t>
      </w:r>
      <w:r w:rsidRPr="3AD5214A" w:rsidR="7086EAB4">
        <w:rPr>
          <w:lang w:val="en-US"/>
        </w:rPr>
        <w:t>5</w:t>
      </w:r>
      <w:r w:rsidRPr="3AD5214A" w:rsidR="0E8D8DFE">
        <w:rPr>
          <w:lang w:val="en-US"/>
        </w:rPr>
        <w:t>), the original time series is expressed as the sum of its three components:</w:t>
      </w:r>
    </w:p>
    <w:p w:rsidR="006F6D3D" w:rsidP="3AD5214A" w:rsidRDefault="006F6D3D" w14:paraId="19515B98" w14:textId="4EC05AC3">
      <w:pPr>
        <w:pStyle w:val="BodyText"/>
        <w:ind w:firstLine="0pt"/>
        <w:rPr>
          <w:rFonts w:ascii="Times New Roman" w:hAnsi="Times New Roman" w:eastAsia="SimSun" w:cs="Times New Roman"/>
          <w:noProof w:val="0"/>
          <w:lang w:val="en-US"/>
        </w:rPr>
      </w:pPr>
      <w:r w:rsidRPr="3AD5214A" w:rsidR="36058ECD">
        <w:rPr>
          <w:rFonts w:ascii="Times New Roman" w:hAnsi="Times New Roman" w:eastAsia="SimSun" w:cs="Times New Roman"/>
          <w:noProof w:val="0"/>
          <w:lang w:val="en-US"/>
        </w:rPr>
        <w:t>Yt</w:t>
      </w:r>
      <w:r w:rsidRPr="3AD5214A" w:rsidR="36058ECD">
        <w:rPr>
          <w:rFonts w:ascii="Times New Roman" w:hAnsi="Times New Roman" w:eastAsia="SimSun" w:cs="Times New Roman"/>
          <w:noProof w:val="0"/>
          <w:lang w:val="en-US"/>
        </w:rPr>
        <w:t xml:space="preserve"> =Tt +St +Rt  </w:t>
      </w:r>
    </w:p>
    <w:p w:rsidR="006F6D3D" w:rsidP="3AD5214A" w:rsidRDefault="006F6D3D" w14:paraId="1646104D" w14:textId="105FC518">
      <w:pPr>
        <w:pStyle w:val="BodyText"/>
      </w:pPr>
      <w:r w:rsidRPr="3AD5214A" w:rsidR="0E8D8DFE">
        <w:rPr>
          <w:lang w:val="en-US"/>
        </w:rPr>
        <w:t xml:space="preserve">This model assumes that seasonal variations and residuals </w:t>
      </w:r>
      <w:r w:rsidRPr="3AD5214A" w:rsidR="0E8D8DFE">
        <w:rPr>
          <w:lang w:val="en-US"/>
        </w:rPr>
        <w:t>remain</w:t>
      </w:r>
      <w:r w:rsidRPr="3AD5214A" w:rsidR="0E8D8DFE">
        <w:rPr>
          <w:lang w:val="en-US"/>
        </w:rPr>
        <w:t xml:space="preserve"> constant in amplitude, regardless of the level of the trend. The trend </w:t>
      </w:r>
      <w:r w:rsidRPr="3AD5214A" w:rsidR="0E8D8DFE">
        <w:rPr>
          <w:lang w:val="en-US"/>
        </w:rPr>
        <w:t>component</w:t>
      </w:r>
      <w:r w:rsidRPr="3AD5214A" w:rsidR="0E8D8DFE">
        <w:rPr>
          <w:lang w:val="en-US"/>
        </w:rPr>
        <w:t xml:space="preserve"> in the additive plot reveals a strong upward movement from 2020 through early 2022, followed by stabilization. The seasonal </w:t>
      </w:r>
      <w:r w:rsidRPr="3AD5214A" w:rsidR="0E8D8DFE">
        <w:rPr>
          <w:lang w:val="en-US"/>
        </w:rPr>
        <w:t>component</w:t>
      </w:r>
      <w:r w:rsidRPr="3AD5214A" w:rsidR="0E8D8DFE">
        <w:rPr>
          <w:lang w:val="en-US"/>
        </w:rPr>
        <w:t xml:space="preserve"> displays consistent periodic patterns with regular peaks and troughs, suggesting predictable cycles — </w:t>
      </w:r>
      <w:r w:rsidRPr="3AD5214A" w:rsidR="0E8D8DFE">
        <w:rPr>
          <w:lang w:val="en-US"/>
        </w:rPr>
        <w:t>likely monthly</w:t>
      </w:r>
      <w:r w:rsidRPr="3AD5214A" w:rsidR="0E8D8DFE">
        <w:rPr>
          <w:lang w:val="en-US"/>
        </w:rPr>
        <w:t xml:space="preserve">, given the dataset frequency. The residual </w:t>
      </w:r>
      <w:r w:rsidRPr="3AD5214A" w:rsidR="0E8D8DFE">
        <w:rPr>
          <w:lang w:val="en-US"/>
        </w:rPr>
        <w:t>component</w:t>
      </w:r>
      <w:r w:rsidRPr="3AD5214A" w:rsidR="0E8D8DFE">
        <w:rPr>
          <w:lang w:val="en-US"/>
        </w:rPr>
        <w:t xml:space="preserve"> appears symmetric and centered around zero, with greater volatility in 2022, coinciding with post-pandemic market fluctuations.</w:t>
      </w:r>
    </w:p>
    <w:p w:rsidR="006F6D3D" w:rsidP="3AD5214A" w:rsidRDefault="006F6D3D" w14:paraId="31F34128" w14:textId="6FF036C7">
      <w:pPr>
        <w:pStyle w:val="BodyText"/>
      </w:pPr>
      <w:r w:rsidRPr="3AD5214A" w:rsidR="0E8D8DFE">
        <w:rPr>
          <w:lang w:val="en-US"/>
        </w:rPr>
        <w:t xml:space="preserve">In contrast, the multiplicative decomposition (see Figure </w:t>
      </w:r>
      <w:r w:rsidRPr="3AD5214A" w:rsidR="76E639B6">
        <w:rPr>
          <w:lang w:val="en-US"/>
        </w:rPr>
        <w:t>6</w:t>
      </w:r>
      <w:r w:rsidRPr="3AD5214A" w:rsidR="0E8D8DFE">
        <w:rPr>
          <w:lang w:val="en-US"/>
        </w:rPr>
        <w:t>) uses the formula:</w:t>
      </w:r>
    </w:p>
    <w:p w:rsidR="006F6D3D" w:rsidP="3AD5214A" w:rsidRDefault="006F6D3D" w14:paraId="79D65600" w14:textId="300FB98A">
      <w:pPr>
        <w:pStyle w:val="BodyText"/>
        <w:ind w:firstLine="0pt"/>
      </w:pPr>
      <w:r w:rsidRPr="3AD5214A" w:rsidR="79FF079A">
        <w:rPr>
          <w:noProof w:val="0"/>
          <w:lang w:val="en-US"/>
        </w:rPr>
        <w:t>Yt</w:t>
      </w:r>
      <w:r w:rsidRPr="3AD5214A" w:rsidR="79FF079A">
        <w:rPr>
          <w:noProof w:val="0"/>
          <w:lang w:val="en-US"/>
        </w:rPr>
        <w:t xml:space="preserve"> =Tt ×St ×Rt  </w:t>
      </w:r>
    </w:p>
    <w:p w:rsidR="006F6D3D" w:rsidP="3AD5214A" w:rsidRDefault="006F6D3D" w14:paraId="525D7666" w14:textId="75CCC69F">
      <w:pPr>
        <w:pStyle w:val="BodyText"/>
      </w:pPr>
      <w:r w:rsidRPr="3AD5214A" w:rsidR="0E8D8DFE">
        <w:rPr>
          <w:lang w:val="en-US"/>
        </w:rPr>
        <w:t xml:space="preserve">This approach assumes that seasonal effects grow or shrink in proportion to the trend. The seasonal </w:t>
      </w:r>
      <w:r w:rsidRPr="3AD5214A" w:rsidR="0E8D8DFE">
        <w:rPr>
          <w:lang w:val="en-US"/>
        </w:rPr>
        <w:t>component</w:t>
      </w:r>
      <w:r w:rsidRPr="3AD5214A" w:rsidR="0E8D8DFE">
        <w:rPr>
          <w:lang w:val="en-US"/>
        </w:rPr>
        <w:t xml:space="preserve"> here shows a </w:t>
      </w:r>
      <w:r w:rsidRPr="3AD5214A" w:rsidR="0E8D8DFE">
        <w:rPr>
          <w:lang w:val="en-US"/>
        </w:rPr>
        <w:t>relatively flat</w:t>
      </w:r>
      <w:r w:rsidRPr="3AD5214A" w:rsidR="0E8D8DFE">
        <w:rPr>
          <w:lang w:val="en-US"/>
        </w:rPr>
        <w:t xml:space="preserve">, oscillating range around a baseline of 1.0, with minor fluctuations (~0.995 to 1.007). This supports the conclusion that the stock’s seasonality is stable and not strongly proportional to trend changes. The residual </w:t>
      </w:r>
      <w:r w:rsidRPr="3AD5214A" w:rsidR="0E8D8DFE">
        <w:rPr>
          <w:lang w:val="en-US"/>
        </w:rPr>
        <w:t>component</w:t>
      </w:r>
      <w:r w:rsidRPr="3AD5214A" w:rsidR="0E8D8DFE">
        <w:rPr>
          <w:lang w:val="en-US"/>
        </w:rPr>
        <w:t xml:space="preserve"> is expressed as a multiplicative deviation from the trend-seasonality product and stays within a tighter band than in the additive case, though it still reflects significant spikes in periods of high market volatility.</w:t>
      </w:r>
      <w:r w:rsidRPr="3AD5214A" w:rsidR="0E8D8DFE">
        <w:rPr>
          <w:lang w:val="en-US"/>
        </w:rPr>
        <w:t xml:space="preserve"> </w:t>
      </w:r>
    </w:p>
    <w:p w:rsidR="006F6D3D" w:rsidP="3AD5214A" w:rsidRDefault="006F6D3D" w14:paraId="4AC68130" w14:textId="1211F0F8">
      <w:pPr>
        <w:pStyle w:val="BodyText"/>
        <w:rPr>
          <w:noProof/>
        </w:rPr>
      </w:pPr>
      <w:r w:rsidRPr="3AD5214A" w:rsidR="0E8D8DFE">
        <w:rPr>
          <w:lang w:val="en-US"/>
        </w:rPr>
        <w:t xml:space="preserve">Based on the TD stock data, additive decomposition appears more interpretable and effective, as the amplitude of seasonality does not scale dramatically with the </w:t>
      </w:r>
      <w:r w:rsidRPr="3AD5214A" w:rsidR="0E8D8DFE">
        <w:rPr>
          <w:lang w:val="en-US"/>
        </w:rPr>
        <w:t>trend.</w:t>
      </w:r>
    </w:p>
    <w:p w:rsidR="1797B458" w:rsidRDefault="1797B458" w14:paraId="14F76C05" w14:textId="7C31AB4C">
      <w:r w:rsidR="1797B458">
        <w:drawing>
          <wp:inline wp14:editId="7540353C" wp14:anchorId="608146E6">
            <wp:extent cx="2957678" cy="2102226"/>
            <wp:effectExtent l="0" t="0" r="0" b="0"/>
            <wp:docPr id="1648699090" name="drawing"/>
            <wp:cNvGraphicFramePr>
              <a:graphicFrameLocks noChangeAspect="1"/>
            </wp:cNvGraphicFramePr>
            <a:graphic>
              <a:graphicData xmlns:a="http://purl.oclc.org/ooxml/drawingml/main" uri="http://schemas.openxmlformats.org/drawingml/2006/picture">
                <pic:pic xmlns:pic="http://purl.oclc.org/ooxml/drawingml/picture">
                  <pic:nvPicPr>
                    <pic:cNvPr id="1648699090" name=""/>
                    <pic:cNvPicPr/>
                  </pic:nvPicPr>
                  <pic:blipFill>
                    <a:blip xmlns:r="http://purl.oclc.org/ooxml/officeDocument/relationships" r:embed="rId1111782925">
                      <a:extLst>
                        <a:ext uri="{28A0092B-C50C-407E-A947-70E740481C1C}">
                          <a14:useLocalDpi xmlns:a14="http://schemas.microsoft.com/office/drawing/2010/main"/>
                        </a:ext>
                      </a:extLst>
                    </a:blip>
                    <a:stretch>
                      <a:fillRect/>
                    </a:stretch>
                  </pic:blipFill>
                  <pic:spPr>
                    <a:xfrm rot="0">
                      <a:off x="0" y="0"/>
                      <a:ext cx="2957678" cy="2102226"/>
                    </a:xfrm>
                    <a:prstGeom prst="rect">
                      <a:avLst/>
                    </a:prstGeom>
                  </pic:spPr>
                </pic:pic>
              </a:graphicData>
            </a:graphic>
          </wp:inline>
        </w:drawing>
      </w:r>
    </w:p>
    <w:p w:rsidR="77AC3FCA" w:rsidP="3AD5214A" w:rsidRDefault="77AC3FCA" w14:paraId="3E932339" w14:textId="3D5C6D25">
      <w:pPr>
        <w:jc w:val="start"/>
      </w:pPr>
      <w:r w:rsidR="77AC3FCA">
        <w:rPr/>
        <w:t xml:space="preserve">Fig. </w:t>
      </w:r>
      <w:r w:rsidR="77AC3FCA">
        <w:rPr/>
        <w:t>5. Additive</w:t>
      </w:r>
      <w:r w:rsidR="77AC3FCA">
        <w:rPr/>
        <w:t xml:space="preserve"> Model</w:t>
      </w:r>
    </w:p>
    <w:p w:rsidR="1797B458" w:rsidRDefault="1797B458" w14:paraId="71043C23" w14:textId="7611F604">
      <w:r w:rsidR="1797B458">
        <w:drawing>
          <wp:inline wp14:editId="51DFD5C2" wp14:anchorId="645B3DE1">
            <wp:extent cx="2952750" cy="2098724"/>
            <wp:effectExtent l="0" t="0" r="0" b="0"/>
            <wp:docPr id="1142171634" name="drawing"/>
            <wp:cNvGraphicFramePr>
              <a:graphicFrameLocks noChangeAspect="1"/>
            </wp:cNvGraphicFramePr>
            <a:graphic>
              <a:graphicData xmlns:a="http://purl.oclc.org/ooxml/drawingml/main" uri="http://schemas.openxmlformats.org/drawingml/2006/picture">
                <pic:pic xmlns:pic="http://purl.oclc.org/ooxml/drawingml/picture">
                  <pic:nvPicPr>
                    <pic:cNvPr id="1142171634" name=""/>
                    <pic:cNvPicPr/>
                  </pic:nvPicPr>
                  <pic:blipFill>
                    <a:blip xmlns:r="http://purl.oclc.org/ooxml/officeDocument/relationships" r:embed="rId1098012641">
                      <a:extLst>
                        <a:ext uri="{28A0092B-C50C-407E-A947-70E740481C1C}">
                          <a14:useLocalDpi xmlns:a14="http://schemas.microsoft.com/office/drawing/2010/main"/>
                        </a:ext>
                      </a:extLst>
                    </a:blip>
                    <a:stretch>
                      <a:fillRect/>
                    </a:stretch>
                  </pic:blipFill>
                  <pic:spPr>
                    <a:xfrm rot="0">
                      <a:off x="0" y="0"/>
                      <a:ext cx="2952750" cy="2098724"/>
                    </a:xfrm>
                    <a:prstGeom prst="rect">
                      <a:avLst/>
                    </a:prstGeom>
                  </pic:spPr>
                </pic:pic>
              </a:graphicData>
            </a:graphic>
          </wp:inline>
        </w:drawing>
      </w:r>
    </w:p>
    <w:p w:rsidR="6BE7B9B2" w:rsidP="3AD5214A" w:rsidRDefault="6BE7B9B2" w14:paraId="465755F2" w14:textId="04FAFBFF">
      <w:pPr>
        <w:jc w:val="start"/>
      </w:pPr>
      <w:r w:rsidR="6BE7B9B2">
        <w:rPr/>
        <w:t>Fig. 6. Multiplicative Model</w:t>
      </w:r>
    </w:p>
    <w:p w:rsidR="3AD5214A" w:rsidP="3AD5214A" w:rsidRDefault="3AD5214A" w14:paraId="368A920C" w14:textId="3F7B3B4F">
      <w:pPr>
        <w:jc w:val="start"/>
      </w:pPr>
    </w:p>
    <w:p w:rsidR="317D450A" w:rsidP="3AD5214A" w:rsidRDefault="317D450A" w14:paraId="21EB869B" w14:textId="193FB784">
      <w:pPr>
        <w:pStyle w:val="Heading2"/>
        <w:jc w:val="center"/>
        <w:rPr/>
      </w:pPr>
      <w:r w:rsidR="317D450A">
        <w:rPr/>
        <w:t>Autocorrelation Analysis and Simulated Series Behavior</w:t>
      </w:r>
    </w:p>
    <w:p w:rsidR="0816128E" w:rsidP="3AD5214A" w:rsidRDefault="0816128E" w14:paraId="1C2471D3" w14:textId="6F3563FF">
      <w:pPr>
        <w:pStyle w:val="Normal"/>
        <w:ind w:firstLine="14.4pt"/>
        <w:jc w:val="both"/>
      </w:pPr>
      <w:r w:rsidR="0816128E">
        <w:rPr/>
        <w:t xml:space="preserve">The ACF plot of the first-order differenced TD stock series (Figure 7) shows a single significant spike at lag 1, with all </w:t>
      </w:r>
      <w:r w:rsidR="0816128E">
        <w:rPr/>
        <w:t>subsequent</w:t>
      </w:r>
      <w:r w:rsidR="0816128E">
        <w:rPr/>
        <w:t xml:space="preserve"> values lying within the confidence band. This confirms that the series has been effectively transformed to a stationary process with minimal autocorrelation beyond immediate lags. The absence of long-range dependence supports the suitability of ARIMA modeling, and guided our use of a (7,1,9) configuration based on AIC optimization.</w:t>
      </w:r>
    </w:p>
    <w:p w:rsidR="0816128E" w:rsidP="3AD5214A" w:rsidRDefault="0816128E" w14:paraId="6EEF14F7" w14:textId="1562197D">
      <w:pPr>
        <w:pStyle w:val="Normal"/>
        <w:ind w:firstLine="14.4pt"/>
        <w:jc w:val="both"/>
      </w:pPr>
      <w:r w:rsidR="0816128E">
        <w:rPr/>
        <w:t xml:space="preserve">To </w:t>
      </w:r>
      <w:r w:rsidR="0816128E">
        <w:rPr/>
        <w:t>validate</w:t>
      </w:r>
      <w:r w:rsidR="0816128E">
        <w:rPr/>
        <w:t xml:space="preserve"> the statistical nature of the original series, we compared it with simulated white noise and random walk data (Figure 8). The TD stock series resembled a random walk—non-stationary with persistent trends. After differencing, the behavior aligned closely with white noise, suggesting the removal of trend and serial correlation. This further confirmed the stationarity of the transformed series and the appropriateness of statistical forecasting models such as ARIMA and ETS.</w:t>
      </w:r>
    </w:p>
    <w:p w:rsidR="0816128E" w:rsidP="3AD5214A" w:rsidRDefault="0816128E" w14:paraId="19D9B636" w14:textId="1645B634">
      <w:pPr>
        <w:jc w:val="start"/>
      </w:pPr>
      <w:r w:rsidR="0816128E">
        <w:drawing>
          <wp:inline wp14:editId="0BDA25A4" wp14:anchorId="3160A939">
            <wp:extent cx="3095625" cy="1533525"/>
            <wp:effectExtent l="0" t="0" r="0" b="0"/>
            <wp:docPr id="752315352" name="drawing"/>
            <wp:cNvGraphicFramePr>
              <a:graphicFrameLocks noChangeAspect="1"/>
            </wp:cNvGraphicFramePr>
            <a:graphic>
              <a:graphicData xmlns:a="http://purl.oclc.org/ooxml/drawingml/main" uri="http://schemas.openxmlformats.org/drawingml/2006/picture">
                <pic:pic xmlns:pic="http://purl.oclc.org/ooxml/drawingml/picture">
                  <pic:nvPicPr>
                    <pic:cNvPr id="752315352" name=""/>
                    <pic:cNvPicPr/>
                  </pic:nvPicPr>
                  <pic:blipFill>
                    <a:blip xmlns:r="http://purl.oclc.org/ooxml/officeDocument/relationships" r:embed="rId1690982246">
                      <a:extLst>
                        <a:ext xmlns:a="http://purl.oclc.org/ooxml/drawingml/main" uri="{28A0092B-C50C-407E-A947-70E740481C1C}">
                          <a14:useLocalDpi xmlns:a14="http://schemas.microsoft.com/office/drawing/2010/main" val="0"/>
                        </a:ext>
                      </a:extLst>
                    </a:blip>
                    <a:stretch>
                      <a:fillRect/>
                    </a:stretch>
                  </pic:blipFill>
                  <pic:spPr>
                    <a:xfrm>
                      <a:off x="0" y="0"/>
                      <a:ext cx="3095625" cy="1533525"/>
                    </a:xfrm>
                    <a:prstGeom prst="rect">
                      <a:avLst/>
                    </a:prstGeom>
                  </pic:spPr>
                </pic:pic>
              </a:graphicData>
            </a:graphic>
          </wp:inline>
        </w:drawing>
      </w:r>
      <w:r w:rsidR="6863FE66">
        <w:rPr/>
        <w:t>Fig. 7. ACF analysis</w:t>
      </w:r>
    </w:p>
    <w:p w:rsidR="3AD5214A" w:rsidP="3AD5214A" w:rsidRDefault="3AD5214A" w14:paraId="67F21599" w14:textId="180122E6">
      <w:pPr>
        <w:jc w:val="start"/>
      </w:pPr>
    </w:p>
    <w:p w:rsidR="32458A5F" w:rsidP="3AD5214A" w:rsidRDefault="32458A5F" w14:paraId="0AAC8C8D" w14:textId="61BC1274">
      <w:pPr>
        <w:jc w:val="start"/>
      </w:pPr>
      <w:r w:rsidR="32458A5F">
        <w:drawing>
          <wp:inline wp14:editId="750AC941" wp14:anchorId="6865F099">
            <wp:extent cx="3095625" cy="1314450"/>
            <wp:effectExtent l="0" t="0" r="0" b="0"/>
            <wp:docPr id="1209074397" name="drawing"/>
            <wp:cNvGraphicFramePr>
              <a:graphicFrameLocks noChangeAspect="1"/>
            </wp:cNvGraphicFramePr>
            <a:graphic>
              <a:graphicData xmlns:a="http://purl.oclc.org/ooxml/drawingml/main" uri="http://schemas.openxmlformats.org/drawingml/2006/picture">
                <pic:pic xmlns:pic="http://purl.oclc.org/ooxml/drawingml/picture">
                  <pic:nvPicPr>
                    <pic:cNvPr id="1209074397" name=""/>
                    <pic:cNvPicPr/>
                  </pic:nvPicPr>
                  <pic:blipFill>
                    <a:blip xmlns:r="http://purl.oclc.org/ooxml/officeDocument/relationships" r:embed="rId2023912971">
                      <a:extLst>
                        <a:ext xmlns:a="http://purl.oclc.org/ooxml/drawingml/main" uri="{28A0092B-C50C-407E-A947-70E740481C1C}">
                          <a14:useLocalDpi xmlns:a14="http://schemas.microsoft.com/office/drawing/2010/main" val="0"/>
                        </a:ext>
                      </a:extLst>
                    </a:blip>
                    <a:stretch>
                      <a:fillRect/>
                    </a:stretch>
                  </pic:blipFill>
                  <pic:spPr>
                    <a:xfrm>
                      <a:off x="0" y="0"/>
                      <a:ext cx="3095625" cy="1314450"/>
                    </a:xfrm>
                    <a:prstGeom prst="rect">
                      <a:avLst/>
                    </a:prstGeom>
                  </pic:spPr>
                </pic:pic>
              </a:graphicData>
            </a:graphic>
          </wp:inline>
        </w:drawing>
      </w:r>
      <w:r w:rsidR="5D43740C">
        <w:rPr/>
        <w:t>Fig. 8. White Noise vs. Random Walk</w:t>
      </w:r>
    </w:p>
    <w:p w:rsidR="3AD5214A" w:rsidP="3AD5214A" w:rsidRDefault="3AD5214A" w14:paraId="44628FD8" w14:textId="193E79F2">
      <w:pPr>
        <w:jc w:val="start"/>
      </w:pPr>
    </w:p>
    <w:p w:rsidR="009303D9" w:rsidP="00ED0149" w:rsidRDefault="009303D9" w14:paraId="3C56E4E8" w14:textId="5DC69277">
      <w:pPr>
        <w:pStyle w:val="Heading2"/>
        <w:rPr/>
      </w:pPr>
      <w:r w:rsidR="0197C90B">
        <w:rPr/>
        <w:t>Interpretation of Components</w:t>
      </w:r>
    </w:p>
    <w:p w:rsidRPr="005B520E" w:rsidR="009303D9" w:rsidP="00E7596C" w:rsidRDefault="009303D9" w14:paraId="1B7223DD" w14:textId="3FEC892A">
      <w:pPr>
        <w:pStyle w:val="BodyText"/>
      </w:pPr>
      <w:r w:rsidR="287E2596">
        <w:rPr/>
        <w:t>The</w:t>
      </w:r>
      <w:r w:rsidR="287E2596">
        <w:rPr/>
        <w:t xml:space="preserve"> trend </w:t>
      </w:r>
      <w:r w:rsidR="287E2596">
        <w:rPr/>
        <w:t>component</w:t>
      </w:r>
      <w:r w:rsidR="287E2596">
        <w:rPr/>
        <w:t xml:space="preserve"> revealed sustained growth in TD Bank’s stock prices, especially after 2020. The seasonality </w:t>
      </w:r>
      <w:r w:rsidR="287E2596">
        <w:rPr/>
        <w:t>component</w:t>
      </w:r>
      <w:r w:rsidR="287E2596">
        <w:rPr/>
        <w:t xml:space="preserve"> </w:t>
      </w:r>
      <w:r w:rsidR="287E2596">
        <w:rPr/>
        <w:t>indicated</w:t>
      </w:r>
      <w:r w:rsidR="287E2596">
        <w:rPr/>
        <w:t xml:space="preserve"> recurring patterns every 12 months, suggesting investor optimism during the early part of the year. The residual </w:t>
      </w:r>
      <w:r w:rsidR="287E2596">
        <w:rPr/>
        <w:t>component</w:t>
      </w:r>
      <w:r w:rsidR="287E2596">
        <w:rPr/>
        <w:t>, which reflects random noise or unexplained variance, was higher during periods of economic uncertainty, providing insight into periods of elevated risk.</w:t>
      </w:r>
    </w:p>
    <w:p w:rsidR="009303D9" w:rsidP="00ED0149" w:rsidRDefault="009303D9" w14:paraId="04D6A610" w14:textId="4635730D">
      <w:pPr>
        <w:pStyle w:val="Heading2"/>
        <w:rPr/>
      </w:pPr>
      <w:r w:rsidR="287E2596">
        <w:rPr/>
        <w:t>Business Insights</w:t>
      </w:r>
    </w:p>
    <w:p w:rsidR="009303D9" w:rsidP="3AD5214A" w:rsidRDefault="0004781E" w14:paraId="39AD5FF2" w14:textId="4CC9F647">
      <w:pPr>
        <w:pStyle w:val="Heading4"/>
        <w:numPr>
          <w:ilvl w:val="0"/>
          <w:numId w:val="0"/>
        </w:numPr>
        <w:ind w:start="0pt" w:firstLine="14.4pt"/>
      </w:pPr>
      <w:r w:rsidRPr="3AD5214A" w:rsidR="287E2596">
        <w:rPr>
          <w:i w:val="0"/>
          <w:iCs w:val="0"/>
        </w:rPr>
        <w:t>Understanding these components helps businesses and investors make informed decisions. Trend analysis supports strategic investment and expansion planning. Seasonal patterns help financial analysts time market entries or exits. Residuals assist in risk assessment by identifying periods of abnormal volatility</w:t>
      </w:r>
      <w:r w:rsidRPr="3AD5214A" w:rsidR="009303D9">
        <w:rPr>
          <w:i w:val="0"/>
          <w:iCs w:val="0"/>
        </w:rPr>
        <w:t>.</w:t>
      </w:r>
    </w:p>
    <w:p w:rsidR="3AD5214A" w:rsidP="3AD5214A" w:rsidRDefault="3AD5214A" w14:paraId="46F9504A" w14:textId="3F0F70AC">
      <w:pPr>
        <w:pStyle w:val="Normal"/>
      </w:pPr>
    </w:p>
    <w:p w:rsidR="5E4C9724" w:rsidP="3AD5214A" w:rsidRDefault="5E4C9724" w14:paraId="5F1EE46C" w14:textId="2599B1BC">
      <w:pPr>
        <w:pStyle w:val="Heading1"/>
        <w:rPr>
          <w:rFonts w:ascii="Times New Roman" w:hAnsi="Times New Roman" w:eastAsia="Times New Roman" w:cs="Times New Roman"/>
          <w:noProof w:val="0"/>
          <w:sz w:val="20"/>
          <w:szCs w:val="20"/>
          <w:lang w:val="en-US"/>
        </w:rPr>
      </w:pPr>
      <w:r w:rsidRPr="3AD5214A" w:rsidR="5E4C9724">
        <w:rPr>
          <w:rFonts w:ascii="Times New Roman" w:hAnsi="Times New Roman" w:eastAsia="Times New Roman" w:cs="Times New Roman"/>
          <w:noProof w:val="0"/>
          <w:sz w:val="20"/>
          <w:szCs w:val="20"/>
          <w:lang w:val="en-US"/>
        </w:rPr>
        <w:t>Forecasting Model Comparison</w:t>
      </w:r>
    </w:p>
    <w:p w:rsidR="455C5038" w:rsidP="3AD5214A" w:rsidRDefault="455C5038" w14:paraId="7F016665" w14:textId="6C27EA86">
      <w:pPr>
        <w:jc w:val="start"/>
      </w:pPr>
      <w:r w:rsidR="455C5038">
        <w:drawing>
          <wp:inline wp14:editId="72586B18" wp14:anchorId="0A5860AF">
            <wp:extent cx="3095625" cy="1838325"/>
            <wp:effectExtent l="0" t="0" r="0" b="0"/>
            <wp:docPr id="1001972124" name="drawing"/>
            <wp:cNvGraphicFramePr>
              <a:graphicFrameLocks noChangeAspect="1"/>
            </wp:cNvGraphicFramePr>
            <a:graphic>
              <a:graphicData xmlns:a="http://purl.oclc.org/ooxml/drawingml/main" uri="http://schemas.openxmlformats.org/drawingml/2006/picture">
                <pic:pic xmlns:pic="http://purl.oclc.org/ooxml/drawingml/picture">
                  <pic:nvPicPr>
                    <pic:cNvPr id="1001972124" name=""/>
                    <pic:cNvPicPr/>
                  </pic:nvPicPr>
                  <pic:blipFill>
                    <a:blip xmlns:r="http://purl.oclc.org/ooxml/officeDocument/relationships" r:embed="rId1462777572">
                      <a:extLst>
                        <a:ext xmlns:a="http://purl.oclc.org/ooxml/drawingml/main" uri="{28A0092B-C50C-407E-A947-70E740481C1C}">
                          <a14:useLocalDpi xmlns:a14="http://schemas.microsoft.com/office/drawing/2010/main" val="0"/>
                        </a:ext>
                      </a:extLst>
                    </a:blip>
                    <a:stretch>
                      <a:fillRect/>
                    </a:stretch>
                  </pic:blipFill>
                  <pic:spPr>
                    <a:xfrm>
                      <a:off x="0" y="0"/>
                      <a:ext cx="3095625" cy="1838325"/>
                    </a:xfrm>
                    <a:prstGeom prst="rect">
                      <a:avLst/>
                    </a:prstGeom>
                  </pic:spPr>
                </pic:pic>
              </a:graphicData>
            </a:graphic>
          </wp:inline>
        </w:drawing>
      </w:r>
      <w:r w:rsidR="614ECA6E">
        <w:rPr/>
        <w:t>Fig. 9. RMSE comparison</w:t>
      </w:r>
    </w:p>
    <w:p w:rsidR="3AD5214A" w:rsidRDefault="3AD5214A" w14:paraId="74893AEF" w14:textId="6AE7F853"/>
    <w:p w:rsidR="455C5038" w:rsidP="3AD5214A" w:rsidRDefault="455C5038" w14:paraId="5FDA496C" w14:textId="16D54B2D">
      <w:pPr>
        <w:pStyle w:val="Heading2"/>
        <w:rPr/>
      </w:pPr>
      <w:r w:rsidR="455C5038">
        <w:rPr/>
        <w:t>Models Applied</w:t>
      </w:r>
    </w:p>
    <w:p w:rsidR="455C5038" w:rsidP="3AD5214A" w:rsidRDefault="455C5038" w14:paraId="39DBA801" w14:textId="700127E1">
      <w:pPr>
        <w:pStyle w:val="Normal"/>
        <w:ind w:firstLine="14.4pt"/>
        <w:jc w:val="both"/>
      </w:pPr>
      <w:r w:rsidR="455C5038">
        <w:rPr/>
        <w:t>Four forecasting models were implemented:</w:t>
      </w:r>
    </w:p>
    <w:p w:rsidR="455C5038" w:rsidP="3AD5214A" w:rsidRDefault="455C5038" w14:paraId="21E0E231" w14:textId="24B6E680">
      <w:pPr>
        <w:pStyle w:val="ListParagraph"/>
        <w:numPr>
          <w:ilvl w:val="0"/>
          <w:numId w:val="27"/>
        </w:numPr>
        <w:jc w:val="both"/>
        <w:rPr/>
      </w:pPr>
      <w:r w:rsidR="455C5038">
        <w:rPr/>
        <w:t>ARIMA (</w:t>
      </w:r>
      <w:r w:rsidR="455C5038">
        <w:rPr/>
        <w:t>AutoRegressive</w:t>
      </w:r>
      <w:r w:rsidR="455C5038">
        <w:rPr/>
        <w:t xml:space="preserve"> Integrated Moving Average) – A linear model suited for stationary data.</w:t>
      </w:r>
    </w:p>
    <w:p w:rsidR="455C5038" w:rsidP="3AD5214A" w:rsidRDefault="455C5038" w14:paraId="04C74487" w14:textId="0DB9AB74">
      <w:pPr>
        <w:pStyle w:val="ListParagraph"/>
        <w:numPr>
          <w:ilvl w:val="0"/>
          <w:numId w:val="27"/>
        </w:numPr>
        <w:jc w:val="both"/>
        <w:rPr/>
      </w:pPr>
      <w:r w:rsidR="455C5038">
        <w:rPr/>
        <w:t>ETS (Exponential Smoothing) – Assigns greater weight to recent observations.</w:t>
      </w:r>
      <w:r w:rsidR="455C5038">
        <w:rPr/>
        <w:t xml:space="preserve"> </w:t>
      </w:r>
    </w:p>
    <w:p w:rsidR="455C5038" w:rsidP="3AD5214A" w:rsidRDefault="455C5038" w14:paraId="56191595" w14:textId="4E55151C">
      <w:pPr>
        <w:pStyle w:val="ListParagraph"/>
        <w:numPr>
          <w:ilvl w:val="0"/>
          <w:numId w:val="27"/>
        </w:numPr>
        <w:jc w:val="both"/>
        <w:rPr/>
      </w:pPr>
      <w:r w:rsidR="455C5038">
        <w:rPr/>
        <w:t>Prophet – A robust model developed by Facebook that handles holidays and missing data.</w:t>
      </w:r>
    </w:p>
    <w:p w:rsidR="455C5038" w:rsidP="3AD5214A" w:rsidRDefault="455C5038" w14:paraId="67F7A342" w14:textId="5B175D44">
      <w:pPr>
        <w:pStyle w:val="ListParagraph"/>
        <w:numPr>
          <w:ilvl w:val="0"/>
          <w:numId w:val="27"/>
        </w:numPr>
        <w:jc w:val="both"/>
        <w:rPr/>
      </w:pPr>
      <w:r w:rsidR="455C5038">
        <w:rPr/>
        <w:t>LSTM (Long Short-Term Memory) – A deep learning model capable of capturing nonlinear temporal patterns.</w:t>
      </w:r>
    </w:p>
    <w:p w:rsidR="455C5038" w:rsidP="3AD5214A" w:rsidRDefault="455C5038" w14:paraId="5AE09CD6" w14:textId="5B911EFA">
      <w:pPr>
        <w:pStyle w:val="Heading2"/>
        <w:jc w:val="center"/>
        <w:rPr/>
      </w:pPr>
      <w:r w:rsidR="455C5038">
        <w:rPr/>
        <w:t>Model Configuration</w:t>
      </w:r>
    </w:p>
    <w:p w:rsidR="455C5038" w:rsidP="3AD5214A" w:rsidRDefault="455C5038" w14:paraId="74FE242B" w14:textId="1B7E82CD">
      <w:pPr>
        <w:pStyle w:val="Normal"/>
        <w:ind w:firstLine="14.4pt"/>
        <w:jc w:val="both"/>
      </w:pPr>
      <w:r w:rsidR="455C5038">
        <w:rPr/>
        <w:t>Each model was fine-tuned for accuracy. ARIMA used an order of (7,1,9) based on AIC optimization. ETS was implemented with a smoothing level of 0.2. Prophet incorporated Canadian holidays and was set to yearly seasonality. The LSTM model used a 12-month look-back window, one hidden layer with 50 units, and was trained for 100 epochs using a batch size of 1.</w:t>
      </w:r>
    </w:p>
    <w:p w:rsidR="455C5038" w:rsidP="3AD5214A" w:rsidRDefault="455C5038" w14:paraId="09E41D24" w14:textId="18F0FE96">
      <w:pPr>
        <w:pStyle w:val="Heading2"/>
        <w:jc w:val="center"/>
        <w:rPr/>
      </w:pPr>
      <w:r w:rsidR="455C5038">
        <w:rPr/>
        <w:t>Training and Testing</w:t>
      </w:r>
    </w:p>
    <w:p w:rsidR="455C5038" w:rsidP="3AD5214A" w:rsidRDefault="455C5038" w14:paraId="4CFCF71F" w14:textId="1DD95FE5">
      <w:pPr>
        <w:pStyle w:val="Normal"/>
        <w:ind w:firstLine="14.4pt"/>
        <w:jc w:val="both"/>
      </w:pPr>
      <w:r w:rsidR="455C5038">
        <w:rPr/>
        <w:t xml:space="preserve">The dataset was split into training and testing sets using an 80:20 ratio. All models were trained on the earlier </w:t>
      </w:r>
      <w:r w:rsidR="455C5038">
        <w:rPr/>
        <w:t>portion</w:t>
      </w:r>
      <w:r w:rsidR="455C5038">
        <w:rPr/>
        <w:t xml:space="preserve"> of the data and tested </w:t>
      </w:r>
      <w:r w:rsidR="455C5038">
        <w:rPr/>
        <w:t>on</w:t>
      </w:r>
      <w:r w:rsidR="455C5038">
        <w:rPr/>
        <w:t xml:space="preserve"> the most recent months to evaluate their forecasting accuracy.</w:t>
      </w:r>
    </w:p>
    <w:p w:rsidR="6B73AB29" w:rsidP="3AD5214A" w:rsidRDefault="6B73AB29" w14:paraId="4E25E79D" w14:textId="01071C31">
      <w:pPr>
        <w:pStyle w:val="Heading2"/>
        <w:suppressLineNumbers w:val="0"/>
        <w:bidi w:val="0"/>
        <w:spacing w:before="6pt" w:beforeAutospacing="0" w:after="3pt" w:afterAutospacing="0" w:line="12.95pt" w:lineRule="auto"/>
        <w:ind w:start="14.4pt" w:end="0pt" w:hanging="14.4pt"/>
        <w:jc w:val="center"/>
        <w:rPr/>
      </w:pPr>
      <w:r w:rsidR="6B73AB29">
        <w:rPr/>
        <w:t>Result Analysis</w:t>
      </w:r>
    </w:p>
    <w:p w:rsidR="6B73AB29" w:rsidP="3AD5214A" w:rsidRDefault="6B73AB29" w14:paraId="0492FC46" w14:textId="04FC0892">
      <w:pPr>
        <w:pStyle w:val="Normal"/>
        <w:bidi w:val="0"/>
        <w:jc w:val="both"/>
      </w:pPr>
      <w:r w:rsidR="6B73AB29">
        <w:rPr/>
        <w:t xml:space="preserve">Among the four models, </w:t>
      </w:r>
      <w:r w:rsidR="481D42DA">
        <w:rPr/>
        <w:t>ETS</w:t>
      </w:r>
      <w:r w:rsidR="6B73AB29">
        <w:rPr/>
        <w:t xml:space="preserve"> outperformed others across all evaluation metrics, making it the most effective forecasting tool in this study. ARIMA followed closely and was especially robust after differencing. Prophet and </w:t>
      </w:r>
      <w:r w:rsidR="7A6207CE">
        <w:rPr/>
        <w:t>LSTM</w:t>
      </w:r>
      <w:r w:rsidR="6B73AB29">
        <w:rPr/>
        <w:t xml:space="preserve"> delivered decent performance, particularly for long-term seasonal patterns, but slightly lagged in precision.</w:t>
      </w:r>
    </w:p>
    <w:p w:rsidR="53AADA8C" w:rsidP="3AD5214A" w:rsidRDefault="53AADA8C" w14:paraId="0E43E085" w14:textId="58944743">
      <w:pPr>
        <w:bidi w:val="0"/>
        <w:jc w:val="both"/>
      </w:pPr>
      <w:r w:rsidR="53AADA8C">
        <w:drawing>
          <wp:inline wp14:editId="71D16640" wp14:anchorId="5468D49E">
            <wp:extent cx="3095625" cy="781050"/>
            <wp:effectExtent l="0" t="0" r="0" b="0"/>
            <wp:docPr id="1854367985" name="drawing"/>
            <wp:cNvGraphicFramePr>
              <a:graphicFrameLocks noChangeAspect="1"/>
            </wp:cNvGraphicFramePr>
            <a:graphic>
              <a:graphicData xmlns:a="http://purl.oclc.org/ooxml/drawingml/main" uri="http://schemas.openxmlformats.org/drawingml/2006/picture">
                <pic:pic xmlns:pic="http://purl.oclc.org/ooxml/drawingml/picture">
                  <pic:nvPicPr>
                    <pic:cNvPr id="1854367985" name=""/>
                    <pic:cNvPicPr/>
                  </pic:nvPicPr>
                  <pic:blipFill>
                    <a:blip xmlns:r="http://purl.oclc.org/ooxml/officeDocument/relationships" r:embed="rId370093506">
                      <a:extLst>
                        <a:ext xmlns:a="http://purl.oclc.org/ooxml/drawingml/main" uri="{28A0092B-C50C-407E-A947-70E740481C1C}">
                          <a14:useLocalDpi xmlns:a14="http://schemas.microsoft.com/office/drawing/2010/main" val="0"/>
                        </a:ext>
                      </a:extLst>
                    </a:blip>
                    <a:stretch>
                      <a:fillRect/>
                    </a:stretch>
                  </pic:blipFill>
                  <pic:spPr>
                    <a:xfrm>
                      <a:off x="0" y="0"/>
                      <a:ext cx="3095625" cy="781050"/>
                    </a:xfrm>
                    <a:prstGeom prst="rect">
                      <a:avLst/>
                    </a:prstGeom>
                  </pic:spPr>
                </pic:pic>
              </a:graphicData>
            </a:graphic>
          </wp:inline>
        </w:drawing>
      </w:r>
      <w:r w:rsidR="7BEC9DC9">
        <w:rPr/>
        <w:t>Fig. 10. Forecasting Metrics Comparison</w:t>
      </w:r>
    </w:p>
    <w:p w:rsidR="53AADA8C" w:rsidP="3AD5214A" w:rsidRDefault="53AADA8C" w14:paraId="3DF22F7C" w14:textId="7F0C3B60">
      <w:pPr>
        <w:pStyle w:val="Heading2"/>
        <w:bidi w:val="0"/>
        <w:jc w:val="center"/>
        <w:rPr/>
      </w:pPr>
      <w:r w:rsidR="53AADA8C">
        <w:rPr/>
        <w:t>Forecasting Horizon and Industry Relevance</w:t>
      </w:r>
    </w:p>
    <w:p w:rsidR="53AADA8C" w:rsidP="3AD5214A" w:rsidRDefault="53AADA8C" w14:paraId="3180614D" w14:textId="7402E53F">
      <w:pPr>
        <w:pStyle w:val="Normal"/>
        <w:bidi w:val="0"/>
        <w:ind w:firstLine="14.4pt"/>
        <w:jc w:val="both"/>
      </w:pPr>
      <w:r w:rsidR="53AADA8C">
        <w:rPr/>
        <w:t>The suitability of each forecasting model depends on both the forecast horizon and the nature of the industry.</w:t>
      </w:r>
      <w:r w:rsidR="53AADA8C">
        <w:rPr/>
        <w:t xml:space="preserve"> </w:t>
      </w:r>
      <w:r w:rsidR="59F90247">
        <w:rPr/>
        <w:t>ETS</w:t>
      </w:r>
      <w:r w:rsidR="53AADA8C">
        <w:rPr/>
        <w:t xml:space="preserve"> and ARIMA are more </w:t>
      </w:r>
      <w:r w:rsidR="53AADA8C">
        <w:rPr/>
        <w:t>appropriate for</w:t>
      </w:r>
      <w:r w:rsidR="53AADA8C">
        <w:rPr/>
        <w:t xml:space="preserve"> short-term forecasting, particularly in domains like finance, where capturing recent fluctuations, volatility, and rapid market shifts is critical. On the other hand, Prophet and </w:t>
      </w:r>
      <w:r w:rsidR="34B547CB">
        <w:rPr/>
        <w:t>LSTM</w:t>
      </w:r>
      <w:r w:rsidR="53AADA8C">
        <w:rPr/>
        <w:t xml:space="preserve"> are better suited for long-term forecasting in industries characterized by strong seasonal behavior. In healthcare, these models can be used to </w:t>
      </w:r>
      <w:r w:rsidR="53AADA8C">
        <w:rPr/>
        <w:t>anticipate</w:t>
      </w:r>
      <w:r w:rsidR="53AADA8C">
        <w:rPr/>
        <w:t xml:space="preserve"> periodic trends such as flu outbreaks or hospital admissions. Similarly, in retail, Prophet excels in forecasting sales patterns driven by recurring events like holidays and promotional campaigns. Selecting the </w:t>
      </w:r>
      <w:r w:rsidR="53AADA8C">
        <w:rPr/>
        <w:t>appropriate model</w:t>
      </w:r>
      <w:r w:rsidR="53AADA8C">
        <w:rPr/>
        <w:t xml:space="preserve"> based on domain and forecast length enables more </w:t>
      </w:r>
      <w:r w:rsidR="53AADA8C">
        <w:rPr/>
        <w:t>accurate</w:t>
      </w:r>
      <w:r w:rsidR="53AADA8C">
        <w:rPr/>
        <w:t xml:space="preserve"> and actionable insights for decision-making.</w:t>
      </w:r>
    </w:p>
    <w:p w:rsidR="3AD5214A" w:rsidP="3AD5214A" w:rsidRDefault="3AD5214A" w14:paraId="23530877" w14:textId="00E2AECF">
      <w:pPr>
        <w:pStyle w:val="Normal"/>
        <w:bidi w:val="0"/>
        <w:jc w:val="both"/>
      </w:pPr>
    </w:p>
    <w:p w:rsidR="03351462" w:rsidP="3AD5214A" w:rsidRDefault="03351462" w14:paraId="64E2E598" w14:textId="1EFEA5B1">
      <w:pPr>
        <w:pStyle w:val="Heading1"/>
        <w:bidi w:val="0"/>
        <w:rPr/>
      </w:pPr>
      <w:r w:rsidR="03351462">
        <w:rPr/>
        <w:t xml:space="preserve"> Streamlit Web Application</w:t>
      </w:r>
    </w:p>
    <w:p w:rsidR="03351462" w:rsidP="3AD5214A" w:rsidRDefault="03351462" w14:paraId="22A2A186" w14:textId="2C316BEC">
      <w:pPr>
        <w:pStyle w:val="Heading2"/>
        <w:bidi w:val="0"/>
        <w:rPr/>
      </w:pPr>
      <w:r w:rsidR="03351462">
        <w:rPr/>
        <w:t>Overview of Functionality</w:t>
      </w:r>
    </w:p>
    <w:p w:rsidR="03351462" w:rsidP="3AD5214A" w:rsidRDefault="03351462" w14:paraId="0F223A95" w14:textId="1335FD95">
      <w:pPr>
        <w:pStyle w:val="Normal"/>
        <w:bidi w:val="0"/>
        <w:ind w:firstLine="14.4pt"/>
        <w:jc w:val="both"/>
      </w:pPr>
      <w:r w:rsidR="03351462">
        <w:rPr/>
        <w:t xml:space="preserve">The </w:t>
      </w:r>
      <w:r w:rsidR="03351462">
        <w:rPr/>
        <w:t>Streamlit</w:t>
      </w:r>
      <w:r w:rsidR="03351462">
        <w:rPr/>
        <w:t xml:space="preserve"> web application, hosted at</w:t>
      </w:r>
    </w:p>
    <w:p w:rsidR="03351462" w:rsidP="3AD5214A" w:rsidRDefault="03351462" w14:paraId="67D3DAB0" w14:textId="2C619D97">
      <w:pPr>
        <w:pStyle w:val="Normal"/>
        <w:bidi w:val="0"/>
        <w:jc w:val="both"/>
      </w:pPr>
      <w:r w:rsidR="03351462">
        <w:rPr/>
        <w:t xml:space="preserve"> </w:t>
      </w:r>
      <w:hyperlink r:id="R7b74bf1968d34d98">
        <w:r w:rsidRPr="3AD5214A" w:rsidR="03351462">
          <w:rPr>
            <w:rStyle w:val="Hyperlink"/>
          </w:rPr>
          <w:t>https://my-app-app-c4btndxjogwlseblgfzu9d.streamlit.app</w:t>
        </w:r>
      </w:hyperlink>
      <w:r w:rsidR="03351462">
        <w:rPr/>
        <w:t>,</w:t>
      </w:r>
    </w:p>
    <w:p w:rsidR="03351462" w:rsidP="3AD5214A" w:rsidRDefault="03351462" w14:paraId="50707274" w14:textId="067D522B">
      <w:pPr>
        <w:pStyle w:val="Normal"/>
        <w:bidi w:val="0"/>
        <w:jc w:val="both"/>
      </w:pPr>
      <w:r w:rsidR="03351462">
        <w:rPr/>
        <w:t>offers an interactive platform that brings our forecasting pipeline to life. It integrates each stage of the time series workflow into a seamless user experience, enabling both technical and non-technical users to explore, analyze, and forecast financial data with minimal effort.</w:t>
      </w:r>
    </w:p>
    <w:p w:rsidR="03351462" w:rsidP="3AD5214A" w:rsidRDefault="03351462" w14:paraId="55462C91" w14:textId="1A168A6D">
      <w:pPr>
        <w:pStyle w:val="Heading2"/>
        <w:bidi w:val="0"/>
        <w:jc w:val="center"/>
        <w:rPr/>
      </w:pPr>
      <w:r w:rsidR="03351462">
        <w:rPr/>
        <w:t>Feature Highlights</w:t>
      </w:r>
    </w:p>
    <w:p w:rsidR="03351462" w:rsidP="3AD5214A" w:rsidRDefault="03351462" w14:paraId="7EFD5C12" w14:textId="4739D055">
      <w:pPr>
        <w:pStyle w:val="ListParagraph"/>
        <w:numPr>
          <w:ilvl w:val="0"/>
          <w:numId w:val="33"/>
        </w:numPr>
        <w:bidi w:val="0"/>
        <w:jc w:val="both"/>
        <w:rPr>
          <w:noProof w:val="0"/>
          <w:lang w:val="en-US"/>
        </w:rPr>
      </w:pPr>
      <w:r w:rsidRPr="3AD5214A" w:rsidR="03351462">
        <w:rPr>
          <w:noProof w:val="0"/>
          <w:lang w:val="en-US"/>
        </w:rPr>
        <w:t xml:space="preserve">CSV Upload Interface </w:t>
      </w:r>
    </w:p>
    <w:p w:rsidR="03351462" w:rsidP="3AD5214A" w:rsidRDefault="03351462" w14:paraId="294183AB" w14:textId="1302A5BE">
      <w:pPr>
        <w:pStyle w:val="ListParagraph"/>
        <w:bidi w:val="0"/>
        <w:ind w:start="32.4pt"/>
        <w:jc w:val="both"/>
        <w:rPr>
          <w:noProof w:val="0"/>
          <w:lang w:val="en-US"/>
        </w:rPr>
      </w:pPr>
      <w:r w:rsidRPr="3AD5214A" w:rsidR="03351462">
        <w:rPr>
          <w:noProof w:val="0"/>
          <w:lang w:val="en-US"/>
        </w:rPr>
        <w:t>Upon launching the app, users are greeted with a clean interface that includes a drag-and-drop area and file browser to upload a time series CSV file. The system reads the file and instantly visualizes the raw time series data for preliminary inspection.</w:t>
      </w:r>
    </w:p>
    <w:p w:rsidR="03351462" w:rsidP="3AD5214A" w:rsidRDefault="03351462" w14:paraId="6A8BA0BB" w14:textId="07A90993">
      <w:pPr>
        <w:pStyle w:val="ListParagraph"/>
        <w:numPr>
          <w:ilvl w:val="0"/>
          <w:numId w:val="33"/>
        </w:numPr>
        <w:bidi w:val="0"/>
        <w:spacing w:before="0pt" w:beforeAutospacing="0" w:after="0pt" w:afterAutospacing="0"/>
        <w:jc w:val="both"/>
        <w:rPr>
          <w:noProof w:val="0"/>
          <w:lang w:val="en-US"/>
        </w:rPr>
      </w:pPr>
      <w:r w:rsidRPr="3AD5214A" w:rsidR="03351462">
        <w:rPr>
          <w:noProof w:val="0"/>
          <w:lang w:val="en-US"/>
        </w:rPr>
        <w:t xml:space="preserve">Decomposition Panel </w:t>
      </w:r>
    </w:p>
    <w:p w:rsidR="03351462" w:rsidP="3AD5214A" w:rsidRDefault="03351462" w14:paraId="57512688" w14:textId="245C5207">
      <w:pPr>
        <w:pStyle w:val="ListParagraph"/>
        <w:bidi w:val="0"/>
        <w:spacing w:before="0pt" w:beforeAutospacing="0" w:after="0pt" w:afterAutospacing="0"/>
        <w:ind w:start="32.4pt"/>
        <w:jc w:val="both"/>
        <w:rPr>
          <w:noProof w:val="0"/>
          <w:lang w:val="en-US"/>
        </w:rPr>
      </w:pPr>
      <w:r w:rsidRPr="3AD5214A" w:rsidR="03351462">
        <w:rPr>
          <w:noProof w:val="0"/>
          <w:lang w:val="en-US"/>
        </w:rPr>
        <w:t>Users can select either Additive or Multiplicative decomposition using a dropdown selector. Once selected, the app decomposes the uploaded time series into trend, seasonal, and residual components and displays each one in a separate subplot.</w:t>
      </w:r>
    </w:p>
    <w:p w:rsidR="03351462" w:rsidP="3AD5214A" w:rsidRDefault="03351462" w14:paraId="66DAA3C0" w14:textId="516DA17B">
      <w:pPr>
        <w:pStyle w:val="ListParagraph"/>
        <w:numPr>
          <w:ilvl w:val="0"/>
          <w:numId w:val="33"/>
        </w:numPr>
        <w:bidi w:val="0"/>
        <w:spacing w:before="0pt" w:beforeAutospacing="0" w:after="0pt" w:afterAutospacing="0"/>
        <w:jc w:val="both"/>
        <w:rPr>
          <w:noProof w:val="0"/>
          <w:lang w:val="en-US"/>
        </w:rPr>
      </w:pPr>
      <w:r w:rsidRPr="3AD5214A" w:rsidR="03351462">
        <w:rPr>
          <w:noProof w:val="0"/>
          <w:lang w:val="en-US"/>
        </w:rPr>
        <w:t>Stationarity</w:t>
      </w:r>
      <w:r w:rsidRPr="3AD5214A" w:rsidR="03351462">
        <w:rPr>
          <w:noProof w:val="0"/>
          <w:lang w:val="en-US"/>
        </w:rPr>
        <w:t xml:space="preserve"> Testing </w:t>
      </w:r>
    </w:p>
    <w:p w:rsidR="03351462" w:rsidP="3AD5214A" w:rsidRDefault="03351462" w14:paraId="000B3A64" w14:textId="44BF3781">
      <w:pPr>
        <w:pStyle w:val="ListParagraph"/>
        <w:bidi w:val="0"/>
        <w:spacing w:before="0pt" w:beforeAutospacing="0" w:after="0pt" w:afterAutospacing="0"/>
        <w:ind w:start="32.4pt"/>
        <w:jc w:val="both"/>
        <w:rPr>
          <w:noProof w:val="0"/>
          <w:lang w:val="en-US"/>
        </w:rPr>
      </w:pPr>
      <w:r w:rsidRPr="3AD5214A" w:rsidR="03351462">
        <w:rPr>
          <w:noProof w:val="0"/>
          <w:lang w:val="en-US"/>
        </w:rPr>
        <w:t xml:space="preserve">The app automatically performs an ADF (Augmented Dickey-Fuller) test on both the original and differenced series. The results are displayed clearly, showing the test statistic, p-value, and </w:t>
      </w:r>
      <w:r w:rsidRPr="3AD5214A" w:rsidR="79442DC5">
        <w:rPr>
          <w:noProof w:val="0"/>
          <w:lang w:val="en-US"/>
        </w:rPr>
        <w:t>a summary</w:t>
      </w:r>
      <w:r w:rsidRPr="3AD5214A" w:rsidR="03351462">
        <w:rPr>
          <w:noProof w:val="0"/>
          <w:lang w:val="en-US"/>
        </w:rPr>
        <w:t xml:space="preserve"> of whether the series is stationary.</w:t>
      </w:r>
    </w:p>
    <w:p w:rsidR="03351462" w:rsidP="3AD5214A" w:rsidRDefault="03351462" w14:paraId="318FC3D3" w14:textId="51F47F4C">
      <w:pPr>
        <w:pStyle w:val="ListParagraph"/>
        <w:numPr>
          <w:ilvl w:val="0"/>
          <w:numId w:val="33"/>
        </w:numPr>
        <w:bidi w:val="0"/>
        <w:spacing w:before="0pt" w:beforeAutospacing="0" w:after="0pt" w:afterAutospacing="0"/>
        <w:jc w:val="both"/>
        <w:rPr>
          <w:noProof w:val="0"/>
          <w:lang w:val="en-US"/>
        </w:rPr>
      </w:pPr>
      <w:r w:rsidRPr="3AD5214A" w:rsidR="03351462">
        <w:rPr>
          <w:noProof w:val="0"/>
          <w:lang w:val="en-US"/>
        </w:rPr>
        <w:t xml:space="preserve">Forecasting Model </w:t>
      </w:r>
      <w:r w:rsidRPr="3AD5214A" w:rsidR="03351462">
        <w:rPr>
          <w:noProof w:val="0"/>
          <w:lang w:val="en-US"/>
        </w:rPr>
        <w:t>Selection</w:t>
      </w:r>
      <w:r w:rsidRPr="3AD5214A" w:rsidR="03351462">
        <w:rPr>
          <w:noProof w:val="0"/>
          <w:lang w:val="en-US"/>
        </w:rPr>
        <w:t xml:space="preserve"> </w:t>
      </w:r>
    </w:p>
    <w:p w:rsidR="03351462" w:rsidP="3AD5214A" w:rsidRDefault="03351462" w14:paraId="474A82BC" w14:textId="4594A240">
      <w:pPr>
        <w:pStyle w:val="ListParagraph"/>
        <w:bidi w:val="0"/>
        <w:spacing w:before="0pt" w:beforeAutospacing="0" w:after="0pt" w:afterAutospacing="0"/>
        <w:ind w:start="32.4pt"/>
        <w:jc w:val="both"/>
        <w:rPr>
          <w:noProof w:val="0"/>
          <w:lang w:val="en-US"/>
        </w:rPr>
      </w:pPr>
      <w:r w:rsidRPr="3AD5214A" w:rsidR="03351462">
        <w:rPr>
          <w:noProof w:val="0"/>
          <w:lang w:val="en-US"/>
        </w:rPr>
        <w:t>The app includes four selectable models:</w:t>
      </w:r>
    </w:p>
    <w:p w:rsidR="03351462" w:rsidP="3AD5214A" w:rsidRDefault="03351462" w14:paraId="03DE99E7" w14:textId="23B4D4C9">
      <w:pPr>
        <w:pStyle w:val="ListParagraph"/>
        <w:numPr>
          <w:ilvl w:val="0"/>
          <w:numId w:val="28"/>
        </w:numPr>
        <w:bidi w:val="0"/>
        <w:spacing w:before="13.5pt" w:beforeAutospacing="0" w:after="13.5pt" w:afterAutospacing="0"/>
        <w:jc w:val="both"/>
        <w:rPr>
          <w:noProof w:val="0"/>
          <w:lang w:val="en-US"/>
        </w:rPr>
      </w:pPr>
      <w:r w:rsidRPr="3AD5214A" w:rsidR="03351462">
        <w:rPr>
          <w:noProof w:val="0"/>
          <w:lang w:val="en-US"/>
        </w:rPr>
        <w:t>ARIMA</w:t>
      </w:r>
    </w:p>
    <w:p w:rsidR="03351462" w:rsidP="3AD5214A" w:rsidRDefault="03351462" w14:paraId="5D3CE464" w14:textId="22989203">
      <w:pPr>
        <w:pStyle w:val="ListParagraph"/>
        <w:numPr>
          <w:ilvl w:val="0"/>
          <w:numId w:val="28"/>
        </w:numPr>
        <w:bidi w:val="0"/>
        <w:spacing w:before="13.5pt" w:beforeAutospacing="0" w:after="13.5pt" w:afterAutospacing="0"/>
        <w:jc w:val="both"/>
        <w:rPr>
          <w:noProof w:val="0"/>
          <w:lang w:val="en-US"/>
        </w:rPr>
      </w:pPr>
      <w:r w:rsidRPr="3AD5214A" w:rsidR="03351462">
        <w:rPr>
          <w:noProof w:val="0"/>
          <w:lang w:val="en-US"/>
        </w:rPr>
        <w:t>Exponential Smoothing (ETS)</w:t>
      </w:r>
    </w:p>
    <w:p w:rsidR="03351462" w:rsidP="3AD5214A" w:rsidRDefault="03351462" w14:paraId="583D8AD9" w14:textId="0548ED82">
      <w:pPr>
        <w:pStyle w:val="ListParagraph"/>
        <w:numPr>
          <w:ilvl w:val="0"/>
          <w:numId w:val="28"/>
        </w:numPr>
        <w:bidi w:val="0"/>
        <w:spacing w:before="13.5pt" w:beforeAutospacing="0" w:after="13.5pt" w:afterAutospacing="0"/>
        <w:jc w:val="both"/>
        <w:rPr>
          <w:noProof w:val="0"/>
          <w:lang w:val="en-US"/>
        </w:rPr>
      </w:pPr>
      <w:r w:rsidRPr="3AD5214A" w:rsidR="03351462">
        <w:rPr>
          <w:noProof w:val="0"/>
          <w:lang w:val="en-US"/>
        </w:rPr>
        <w:t>Prophet</w:t>
      </w:r>
    </w:p>
    <w:p w:rsidR="03351462" w:rsidP="3AD5214A" w:rsidRDefault="03351462" w14:paraId="04FBCDDC" w14:textId="7F4F2B36">
      <w:pPr>
        <w:pStyle w:val="ListParagraph"/>
        <w:numPr>
          <w:ilvl w:val="0"/>
          <w:numId w:val="28"/>
        </w:numPr>
        <w:bidi w:val="0"/>
        <w:spacing w:before="13.5pt" w:beforeAutospacing="0" w:after="13.5pt" w:afterAutospacing="0"/>
        <w:jc w:val="both"/>
        <w:rPr>
          <w:noProof w:val="0"/>
          <w:lang w:val="en-US"/>
        </w:rPr>
      </w:pPr>
      <w:r w:rsidRPr="3AD5214A" w:rsidR="03351462">
        <w:rPr>
          <w:noProof w:val="0"/>
          <w:lang w:val="en-US"/>
        </w:rPr>
        <w:t>LSTM</w:t>
      </w:r>
    </w:p>
    <w:p w:rsidR="03351462" w:rsidP="3AD5214A" w:rsidRDefault="03351462" w14:paraId="40E2D9B9" w14:textId="707F00D4">
      <w:pPr>
        <w:pStyle w:val="ListParagraph"/>
        <w:bidi w:val="0"/>
        <w:spacing w:before="13.5pt" w:beforeAutospacing="0" w:after="13.5pt" w:afterAutospacing="0"/>
        <w:ind w:start="36pt"/>
        <w:jc w:val="both"/>
        <w:rPr>
          <w:noProof w:val="0"/>
          <w:lang w:val="en-US"/>
        </w:rPr>
      </w:pPr>
      <w:r w:rsidRPr="3AD5214A" w:rsidR="03351462">
        <w:rPr>
          <w:noProof w:val="0"/>
          <w:lang w:val="en-US"/>
        </w:rPr>
        <w:t>Upon model selection, the app trains the chosen model on the uploaded data, forecasts future values, and displays the output on an interactive line plot.</w:t>
      </w:r>
    </w:p>
    <w:p w:rsidR="03351462" w:rsidP="3AD5214A" w:rsidRDefault="03351462" w14:paraId="3E524910" w14:textId="2ADDD3BE">
      <w:pPr>
        <w:pStyle w:val="ListParagraph"/>
        <w:numPr>
          <w:ilvl w:val="0"/>
          <w:numId w:val="33"/>
        </w:numPr>
        <w:bidi w:val="0"/>
        <w:spacing w:before="13.5pt" w:beforeAutospacing="0" w:after="13.5pt" w:afterAutospacing="0"/>
        <w:jc w:val="both"/>
        <w:rPr>
          <w:noProof w:val="0"/>
          <w:lang w:val="en-US"/>
        </w:rPr>
      </w:pPr>
      <w:r w:rsidRPr="3AD5214A" w:rsidR="03351462">
        <w:rPr>
          <w:noProof w:val="0"/>
          <w:lang w:val="en-US"/>
        </w:rPr>
        <w:t xml:space="preserve">Forecast Accuracy Evaluation </w:t>
      </w:r>
    </w:p>
    <w:p w:rsidR="03351462" w:rsidP="3AD5214A" w:rsidRDefault="03351462" w14:paraId="489DC8A3" w14:textId="7622C4DF">
      <w:pPr>
        <w:pStyle w:val="ListParagraph"/>
        <w:bidi w:val="0"/>
        <w:spacing w:before="13.5pt" w:beforeAutospacing="0" w:after="13.5pt" w:afterAutospacing="0"/>
        <w:ind w:start="32.4pt"/>
        <w:jc w:val="both"/>
        <w:rPr>
          <w:noProof w:val="0"/>
          <w:lang w:val="en-US"/>
        </w:rPr>
      </w:pPr>
      <w:r w:rsidRPr="3AD5214A" w:rsidR="03351462">
        <w:rPr>
          <w:noProof w:val="0"/>
          <w:lang w:val="en-US"/>
        </w:rPr>
        <w:t>The final feature includes a metric comparison panel where users can select RMSE, MAE, MAPE, or MSE from a dropdown. The app then displays a bar chart comparing all models side-by-side based on the selected metric.</w:t>
      </w:r>
    </w:p>
    <w:p w:rsidR="5155DFE0" w:rsidP="3AD5214A" w:rsidRDefault="5155DFE0" w14:paraId="06242473" w14:textId="787DAD5E">
      <w:pPr>
        <w:pStyle w:val="Normal"/>
        <w:suppressLineNumbers w:val="0"/>
        <w:bidi w:val="0"/>
        <w:spacing w:before="13.5pt" w:beforeAutospacing="0" w:after="13.5pt" w:afterAutospacing="0" w:line="12.95pt" w:lineRule="auto"/>
        <w:ind w:start="0pt" w:end="0pt"/>
        <w:jc w:val="both"/>
      </w:pPr>
      <w:r w:rsidR="5155DFE0">
        <w:drawing>
          <wp:inline wp14:editId="305DB4D7" wp14:anchorId="43D11D1C">
            <wp:extent cx="3095625" cy="1257300"/>
            <wp:effectExtent l="0" t="0" r="0" b="0"/>
            <wp:docPr id="2036733770" name="drawing"/>
            <wp:cNvGraphicFramePr>
              <a:graphicFrameLocks noChangeAspect="1"/>
            </wp:cNvGraphicFramePr>
            <a:graphic>
              <a:graphicData xmlns:a="http://purl.oclc.org/ooxml/drawingml/main" uri="http://schemas.openxmlformats.org/drawingml/2006/picture">
                <pic:pic xmlns:pic="http://purl.oclc.org/ooxml/drawingml/picture">
                  <pic:nvPicPr>
                    <pic:cNvPr id="2036733770" name=""/>
                    <pic:cNvPicPr/>
                  </pic:nvPicPr>
                  <pic:blipFill>
                    <a:blip xmlns:r="http://purl.oclc.org/ooxml/officeDocument/relationships" r:embed="rId1042319539">
                      <a:extLst>
                        <a:ext xmlns:a="http://purl.oclc.org/ooxml/drawingml/main" uri="{28A0092B-C50C-407E-A947-70E740481C1C}">
                          <a14:useLocalDpi xmlns:a14="http://schemas.microsoft.com/office/drawing/2010/main" val="0"/>
                        </a:ext>
                      </a:extLst>
                    </a:blip>
                    <a:stretch>
                      <a:fillRect/>
                    </a:stretch>
                  </pic:blipFill>
                  <pic:spPr>
                    <a:xfrm>
                      <a:off x="0" y="0"/>
                      <a:ext cx="3095625" cy="1257300"/>
                    </a:xfrm>
                    <a:prstGeom prst="rect">
                      <a:avLst/>
                    </a:prstGeom>
                  </pic:spPr>
                </pic:pic>
              </a:graphicData>
            </a:graphic>
          </wp:inline>
        </w:drawing>
      </w:r>
      <w:r w:rsidR="2460A76B">
        <w:rPr/>
        <w:t xml:space="preserve">Fig. 11. </w:t>
      </w:r>
      <w:r w:rsidR="2460A76B">
        <w:rPr/>
        <w:t>Upload</w:t>
      </w:r>
      <w:r w:rsidR="2460A76B">
        <w:rPr/>
        <w:t xml:space="preserve"> interface</w:t>
      </w:r>
    </w:p>
    <w:p w:rsidR="2460A76B" w:rsidP="3AD5214A" w:rsidRDefault="2460A76B" w14:paraId="5491030B" w14:textId="362D5C3F">
      <w:pPr>
        <w:pStyle w:val="Normal"/>
        <w:suppressLineNumbers w:val="0"/>
        <w:bidi w:val="0"/>
        <w:spacing w:before="13.5pt" w:beforeAutospacing="0" w:after="13.5pt" w:afterAutospacing="0" w:line="12.95pt" w:lineRule="auto"/>
        <w:ind w:start="0pt" w:end="0pt"/>
        <w:jc w:val="both"/>
      </w:pPr>
      <w:r w:rsidR="2460A76B">
        <w:drawing>
          <wp:inline wp14:editId="3577A031" wp14:anchorId="6B3103EB">
            <wp:extent cx="3095625" cy="2695575"/>
            <wp:effectExtent l="0" t="0" r="0" b="0"/>
            <wp:docPr id="1939585690" name="drawing"/>
            <wp:cNvGraphicFramePr>
              <a:graphicFrameLocks noChangeAspect="1"/>
            </wp:cNvGraphicFramePr>
            <a:graphic>
              <a:graphicData xmlns:a="http://purl.oclc.org/ooxml/drawingml/main" uri="http://schemas.openxmlformats.org/drawingml/2006/picture">
                <pic:pic xmlns:pic="http://purl.oclc.org/ooxml/drawingml/picture">
                  <pic:nvPicPr>
                    <pic:cNvPr id="1939585690" name=""/>
                    <pic:cNvPicPr/>
                  </pic:nvPicPr>
                  <pic:blipFill>
                    <a:blip xmlns:r="http://purl.oclc.org/ooxml/officeDocument/relationships" r:embed="rId836005127">
                      <a:extLst>
                        <a:ext xmlns:a="http://purl.oclc.org/ooxml/drawingml/main" uri="{28A0092B-C50C-407E-A947-70E740481C1C}">
                          <a14:useLocalDpi xmlns:a14="http://schemas.microsoft.com/office/drawing/2010/main" val="0"/>
                        </a:ext>
                      </a:extLst>
                    </a:blip>
                    <a:stretch>
                      <a:fillRect/>
                    </a:stretch>
                  </pic:blipFill>
                  <pic:spPr>
                    <a:xfrm>
                      <a:off x="0" y="0"/>
                      <a:ext cx="3095625" cy="2695575"/>
                    </a:xfrm>
                    <a:prstGeom prst="rect">
                      <a:avLst/>
                    </a:prstGeom>
                  </pic:spPr>
                </pic:pic>
              </a:graphicData>
            </a:graphic>
          </wp:inline>
        </w:drawing>
      </w:r>
      <w:r w:rsidR="2460A76B">
        <w:rPr/>
        <w:t>Fig. 12. Decomposition Panel</w:t>
      </w:r>
    </w:p>
    <w:p w:rsidR="68208D5B" w:rsidP="3AD5214A" w:rsidRDefault="68208D5B" w14:paraId="1FC28024" w14:textId="28822C42">
      <w:pPr>
        <w:bidi w:val="0"/>
        <w:spacing w:before="13.5pt" w:beforeAutospacing="0" w:after="13.5pt" w:afterAutospacing="0" w:line="12.95pt" w:lineRule="auto"/>
        <w:ind w:start="0pt" w:end="0pt"/>
        <w:jc w:val="both"/>
      </w:pPr>
      <w:r w:rsidR="68208D5B">
        <w:drawing>
          <wp:inline wp14:editId="57CF8161" wp14:anchorId="0FE68947">
            <wp:extent cx="3095625" cy="2962275"/>
            <wp:effectExtent l="0" t="0" r="0" b="0"/>
            <wp:docPr id="1317950847" name="drawing"/>
            <wp:cNvGraphicFramePr>
              <a:graphicFrameLocks noChangeAspect="1"/>
            </wp:cNvGraphicFramePr>
            <a:graphic>
              <a:graphicData xmlns:a="http://purl.oclc.org/ooxml/drawingml/main" uri="http://schemas.openxmlformats.org/drawingml/2006/picture">
                <pic:pic xmlns:pic="http://purl.oclc.org/ooxml/drawingml/picture">
                  <pic:nvPicPr>
                    <pic:cNvPr id="1317950847" name=""/>
                    <pic:cNvPicPr/>
                  </pic:nvPicPr>
                  <pic:blipFill>
                    <a:blip xmlns:r="http://purl.oclc.org/ooxml/officeDocument/relationships" r:embed="rId322974559">
                      <a:extLst>
                        <a:ext xmlns:a="http://purl.oclc.org/ooxml/drawingml/main" uri="{28A0092B-C50C-407E-A947-70E740481C1C}">
                          <a14:useLocalDpi xmlns:a14="http://schemas.microsoft.com/office/drawing/2010/main" val="0"/>
                        </a:ext>
                      </a:extLst>
                    </a:blip>
                    <a:stretch>
                      <a:fillRect/>
                    </a:stretch>
                  </pic:blipFill>
                  <pic:spPr>
                    <a:xfrm>
                      <a:off x="0" y="0"/>
                      <a:ext cx="3095625" cy="2962275"/>
                    </a:xfrm>
                    <a:prstGeom prst="rect">
                      <a:avLst/>
                    </a:prstGeom>
                  </pic:spPr>
                </pic:pic>
              </a:graphicData>
            </a:graphic>
          </wp:inline>
        </w:drawing>
      </w:r>
      <w:r w:rsidR="68208D5B">
        <w:rPr/>
        <w:t>Fig. 13. Stationarity Testing</w:t>
      </w:r>
    </w:p>
    <w:p w:rsidR="3617350F" w:rsidP="3AD5214A" w:rsidRDefault="3617350F" w14:paraId="48F7B664" w14:textId="32E86F2D">
      <w:pPr>
        <w:bidi w:val="0"/>
        <w:spacing w:before="13.5pt" w:beforeAutospacing="0" w:after="13.5pt" w:afterAutospacing="0" w:line="12.95pt" w:lineRule="auto"/>
        <w:ind w:start="0pt" w:end="0pt"/>
        <w:jc w:val="both"/>
      </w:pPr>
      <w:r w:rsidR="3617350F">
        <w:drawing>
          <wp:inline wp14:editId="47B237FC" wp14:anchorId="4378D3FB">
            <wp:extent cx="3095625" cy="2476500"/>
            <wp:effectExtent l="0" t="0" r="0" b="0"/>
            <wp:docPr id="1807119002" name="drawing"/>
            <wp:cNvGraphicFramePr>
              <a:graphicFrameLocks noChangeAspect="1"/>
            </wp:cNvGraphicFramePr>
            <a:graphic>
              <a:graphicData xmlns:a="http://purl.oclc.org/ooxml/drawingml/main" uri="http://schemas.openxmlformats.org/drawingml/2006/picture">
                <pic:pic xmlns:pic="http://purl.oclc.org/ooxml/drawingml/picture">
                  <pic:nvPicPr>
                    <pic:cNvPr id="1807119002" name=""/>
                    <pic:cNvPicPr/>
                  </pic:nvPicPr>
                  <pic:blipFill>
                    <a:blip xmlns:r="http://purl.oclc.org/ooxml/officeDocument/relationships" r:embed="rId1319900257">
                      <a:extLst>
                        <a:ext xmlns:a="http://purl.oclc.org/ooxml/drawingml/main" uri="{28A0092B-C50C-407E-A947-70E740481C1C}">
                          <a14:useLocalDpi xmlns:a14="http://schemas.microsoft.com/office/drawing/2010/main" val="0"/>
                        </a:ext>
                      </a:extLst>
                    </a:blip>
                    <a:stretch>
                      <a:fillRect/>
                    </a:stretch>
                  </pic:blipFill>
                  <pic:spPr>
                    <a:xfrm>
                      <a:off x="0" y="0"/>
                      <a:ext cx="3095625" cy="2476500"/>
                    </a:xfrm>
                    <a:prstGeom prst="rect">
                      <a:avLst/>
                    </a:prstGeom>
                  </pic:spPr>
                </pic:pic>
              </a:graphicData>
            </a:graphic>
          </wp:inline>
        </w:drawing>
      </w:r>
      <w:r w:rsidR="3617350F">
        <w:rPr/>
        <w:t>Fig. 14. Forecast Evaluation</w:t>
      </w:r>
    </w:p>
    <w:p w:rsidR="3617350F" w:rsidP="3AD5214A" w:rsidRDefault="3617350F" w14:paraId="252DA764" w14:textId="060AAF87">
      <w:pPr>
        <w:pStyle w:val="Normal"/>
        <w:suppressLineNumbers w:val="0"/>
        <w:bidi w:val="0"/>
        <w:spacing w:before="13.5pt" w:beforeAutospacing="0" w:after="13.5pt" w:afterAutospacing="0" w:line="12.95pt" w:lineRule="auto"/>
        <w:ind w:start="0pt" w:end="0pt"/>
        <w:jc w:val="both"/>
      </w:pPr>
      <w:r w:rsidR="3617350F">
        <w:drawing>
          <wp:inline wp14:editId="1C6C5E0A" wp14:anchorId="4B1A5833">
            <wp:extent cx="3095625" cy="3028950"/>
            <wp:effectExtent l="0" t="0" r="0" b="0"/>
            <wp:docPr id="896078015" name="drawing"/>
            <wp:cNvGraphicFramePr>
              <a:graphicFrameLocks noChangeAspect="1"/>
            </wp:cNvGraphicFramePr>
            <a:graphic>
              <a:graphicData xmlns:a="http://purl.oclc.org/ooxml/drawingml/main" uri="http://schemas.openxmlformats.org/drawingml/2006/picture">
                <pic:pic xmlns:pic="http://purl.oclc.org/ooxml/drawingml/picture">
                  <pic:nvPicPr>
                    <pic:cNvPr id="896078015" name=""/>
                    <pic:cNvPicPr/>
                  </pic:nvPicPr>
                  <pic:blipFill>
                    <a:blip xmlns:r="http://purl.oclc.org/ooxml/officeDocument/relationships" r:embed="rId824516963">
                      <a:extLst>
                        <a:ext xmlns:a="http://purl.oclc.org/ooxml/drawingml/main" uri="{28A0092B-C50C-407E-A947-70E740481C1C}">
                          <a14:useLocalDpi xmlns:a14="http://schemas.microsoft.com/office/drawing/2010/main" val="0"/>
                        </a:ext>
                      </a:extLst>
                    </a:blip>
                    <a:stretch>
                      <a:fillRect/>
                    </a:stretch>
                  </pic:blipFill>
                  <pic:spPr>
                    <a:xfrm>
                      <a:off x="0" y="0"/>
                      <a:ext cx="3095625" cy="3028950"/>
                    </a:xfrm>
                    <a:prstGeom prst="rect">
                      <a:avLst/>
                    </a:prstGeom>
                  </pic:spPr>
                </pic:pic>
              </a:graphicData>
            </a:graphic>
          </wp:inline>
        </w:drawing>
      </w:r>
      <w:r w:rsidR="08F65FD5">
        <w:rPr/>
        <w:t>Fig. 15. Metrics Evaluation</w:t>
      </w:r>
    </w:p>
    <w:p w:rsidR="39BAE60A" w:rsidP="3AD5214A" w:rsidRDefault="39BAE60A" w14:paraId="38CEA89D" w14:textId="2FCFEFF5">
      <w:pPr>
        <w:pStyle w:val="Heading2"/>
        <w:bidi w:val="0"/>
        <w:rPr>
          <w:i w:val="1"/>
          <w:iCs w:val="1"/>
        </w:rPr>
      </w:pPr>
      <w:r w:rsidRPr="3AD5214A" w:rsidR="39BAE60A">
        <w:rPr>
          <w:i w:val="1"/>
          <w:iCs w:val="1"/>
        </w:rPr>
        <w:t>User Experience and Value</w:t>
      </w:r>
    </w:p>
    <w:p w:rsidR="39BAE60A" w:rsidP="3AD5214A" w:rsidRDefault="39BAE60A" w14:paraId="68337F65" w14:textId="10B1E451">
      <w:pPr>
        <w:pStyle w:val="Normal"/>
        <w:bidi w:val="0"/>
        <w:ind w:firstLine="14.4pt"/>
        <w:jc w:val="both"/>
      </w:pPr>
      <w:r w:rsidR="39BAE60A">
        <w:rPr/>
        <w:t xml:space="preserve">The web app was built with ease of use in mind. It requires no programming skills and provides intuitive feedback at every stage of interaction. Users can upload any compatible time series, </w:t>
      </w:r>
      <w:r w:rsidR="39BAE60A">
        <w:rPr/>
        <w:t>observe</w:t>
      </w:r>
      <w:r w:rsidR="39BAE60A">
        <w:rPr/>
        <w:t xml:space="preserve"> statistical properties, decompose it, and forecast with their chosen model in just a few clicks.</w:t>
      </w:r>
    </w:p>
    <w:p w:rsidR="39BAE60A" w:rsidP="3AD5214A" w:rsidRDefault="39BAE60A" w14:paraId="78877104" w14:textId="08E67FC9">
      <w:pPr>
        <w:pStyle w:val="Normal"/>
        <w:bidi w:val="0"/>
        <w:ind w:firstLine="14.4pt"/>
        <w:jc w:val="both"/>
      </w:pPr>
      <w:r w:rsidR="39BAE60A">
        <w:rPr/>
        <w:t>From an academic perspective, this app helps visualize complex time series techniques interactively. From a business perspective, it empowers analysts to make informed decisions based on model performance and trend insights.</w:t>
      </w:r>
    </w:p>
    <w:p w:rsidR="3AD5214A" w:rsidP="3AD5214A" w:rsidRDefault="3AD5214A" w14:paraId="0F149F7C" w14:textId="0E9A21BF">
      <w:pPr>
        <w:pStyle w:val="Normal"/>
        <w:bidi w:val="0"/>
        <w:ind w:firstLine="14.4pt"/>
        <w:jc w:val="both"/>
      </w:pPr>
    </w:p>
    <w:p w:rsidR="39BAE60A" w:rsidP="3AD5214A" w:rsidRDefault="39BAE60A" w14:paraId="3EC7C658" w14:textId="6056ED40">
      <w:pPr>
        <w:pStyle w:val="Heading2"/>
        <w:bidi w:val="0"/>
        <w:rPr/>
      </w:pPr>
      <w:r w:rsidR="39BAE60A">
        <w:rPr/>
        <w:t>Cloud Deployment and Accessibility</w:t>
      </w:r>
    </w:p>
    <w:p w:rsidR="39BAE60A" w:rsidP="3AD5214A" w:rsidRDefault="39BAE60A" w14:paraId="50E1C5A6" w14:textId="486D3AA4">
      <w:pPr>
        <w:pStyle w:val="Normal"/>
        <w:bidi w:val="0"/>
        <w:ind w:firstLine="14.4pt"/>
        <w:jc w:val="both"/>
      </w:pPr>
      <w:r w:rsidR="39BAE60A">
        <w:rPr/>
        <w:t xml:space="preserve">The deployed version is accessible online and removes the need for local setup or dependencies. This enables professors, classmates, or stakeholders to test and </w:t>
      </w:r>
      <w:r w:rsidR="39BAE60A">
        <w:rPr/>
        <w:t>validate</w:t>
      </w:r>
      <w:r w:rsidR="39BAE60A">
        <w:rPr/>
        <w:t xml:space="preserve"> the app directly through a web browser.</w:t>
      </w:r>
    </w:p>
    <w:p w:rsidRPr="005B520E" w:rsidR="009303D9" w:rsidP="3AD5214A" w:rsidRDefault="009303D9" w14:paraId="144D91D7" w14:textId="5C6B321E">
      <w:pPr>
        <w:pStyle w:val="Heading5"/>
      </w:pPr>
      <w:r w:rsidR="3AD5214A">
        <w:rPr/>
        <w:t>References</w:t>
      </w:r>
    </w:p>
    <w:p w:rsidR="3E927564" w:rsidP="3AD5214A" w:rsidRDefault="3E927564" w14:paraId="2559E5B4" w14:textId="36EDA32D">
      <w:pPr>
        <w:pStyle w:val="references"/>
        <w:ind w:start="17.7pt" w:hanging="0pt"/>
        <w:rPr/>
      </w:pPr>
      <w:r w:rsidRPr="3AD5214A" w:rsidR="3E927564">
        <w:rPr>
          <w:i w:val="1"/>
          <w:iCs w:val="1"/>
        </w:rPr>
        <w:t>Yahoo Finance. https://finance.yahoo.com</w:t>
      </w:r>
    </w:p>
    <w:p w:rsidR="008147B5" w:rsidP="008147B5" w:rsidRDefault="008147B5" w14:paraId="67664B9A" w14:textId="77777777">
      <w:pPr>
        <w:pStyle w:val="references"/>
        <w:numPr>
          <w:ilvl w:val="0"/>
          <w:numId w:val="0"/>
        </w:numPr>
        <w:ind w:start="17.70pt"/>
      </w:pPr>
    </w:p>
    <w:p w:rsidR="009303D9" w:rsidP="00836367" w:rsidRDefault="009303D9" w14:paraId="481D7272" w14:textId="77777777">
      <w:pPr>
        <w:pStyle w:val="references"/>
        <w:numPr>
          <w:ilvl w:val="0"/>
          <w:numId w:val="0"/>
        </w:numPr>
        <w:ind w:start="18pt" w:hanging="18pt"/>
      </w:pPr>
    </w:p>
    <w:p w:rsidRPr="00F96569" w:rsidR="00836367" w:rsidP="3AD5214A" w:rsidRDefault="00836367" w14:paraId="2CBC4D6A" w14:textId="77777777">
      <w:pPr>
        <w:pStyle w:val="references"/>
        <w:numPr>
          <w:ilvl w:val="0"/>
          <w:numId w:val="0"/>
        </w:numPr>
        <w:spacing w:line="12pt" w:lineRule="auto"/>
        <w:ind w:start="18pt" w:hanging="0pt"/>
        <w:jc w:val="center"/>
        <w:rPr>
          <w:rFonts w:eastAsia="SimSun"/>
          <w:b w:val="1"/>
          <w:bCs w:val="1"/>
          <w:noProof w:val="0"/>
          <w:color w:val="FF0000"/>
          <w:spacing w:val="-1"/>
          <w:sz w:val="20"/>
          <w:szCs w:val="20"/>
          <w:lang w:val="x-none" w:eastAsia="x-none"/>
        </w:rPr>
        <w:sectPr w:rsidRPr="00F96569" w:rsidR="00836367" w:rsidSect="003B4E04">
          <w:type w:val="continuous"/>
          <w:pgSz w:w="595.3pt" w:h="841.9pt" w:orient="portrait" w:code="9"/>
          <w:pgMar w:top="54pt" w:right="45.35pt" w:bottom="72pt" w:left="45.35pt" w:header="36pt" w:footer="36pt" w:gutter="0pt"/>
          <w:cols w:space="360" w:num="2"/>
          <w:docGrid w:linePitch="360"/>
          <w:headerReference w:type="default" r:id="R29e1545c11bf4df6"/>
        </w:sectPr>
      </w:pPr>
    </w:p>
    <w:p w:rsidR="009303D9" w:rsidP="005B520E" w:rsidRDefault="003B2B40" w14:paraId="4EF2B8B8" w14:textId="77777777"/>
    <w:sectPr w:rsidR="009303D9" w:rsidSect="003B4E04">
      <w:type w:val="continuous"/>
      <w:pgSz w:w="595.3pt" w:h="841.9pt" w:orient="portrait" w:code="9"/>
      <w:pgMar w:top="54pt" w:right="44.65pt" w:bottom="72pt" w:left="44.65pt" w:header="36pt" w:footer="36pt" w:gutter="0pt"/>
      <w:cols w:space="720"/>
      <w:docGrid w:linePitch="360"/>
      <w:headerReference w:type="default" r:id="R4a8c066d873042c3"/>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6A5D82" w:rsidP="001A3B3D" w:rsidRDefault="006A5D82" w14:paraId="2877A9C7" w14:textId="77777777">
      <w:r>
        <w:separator/>
      </w:r>
    </w:p>
  </w:endnote>
  <w:endnote w:type="continuationSeparator" w:id="0">
    <w:p w:rsidR="006A5D82" w:rsidP="001A3B3D" w:rsidRDefault="006A5D82" w14:paraId="7F388C0B" w14:textId="7777777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NimbusRomNo9L-Regu">
    <w:altName w:val="Yu Gothic"/>
    <w:panose1 w:val="00000000000000000000"/>
    <w:charset w:characterSet="shift_jis"/>
    <w:family w:val="auto"/>
    <w:notTrueType/>
    <w:pitch w:val="default"/>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6A5D82" w:rsidP="001A3B3D" w:rsidRDefault="006A5D82" w14:paraId="06DFCDA7" w14:textId="77777777">
      <w:r>
        <w:separator/>
      </w:r>
    </w:p>
  </w:footnote>
  <w:footnote w:type="continuationSeparator" w:id="0">
    <w:p w:rsidR="006A5D82" w:rsidP="001A3B3D" w:rsidRDefault="006A5D82" w14:paraId="2309B469"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1318D97B" w:rsidTr="1318D97B" w14:paraId="6F32E2E0">
      <w:trPr>
        <w:trHeight w:val="300"/>
      </w:trPr>
      <w:tc>
        <w:tcPr>
          <w:tcW w:w="3370" w:type="dxa"/>
          <w:tcMar/>
        </w:tcPr>
        <w:p w:rsidR="1318D97B" w:rsidP="1318D97B" w:rsidRDefault="1318D97B" w14:paraId="56A12D27" w14:textId="2A639E28">
          <w:pPr>
            <w:pStyle w:val="Header"/>
            <w:bidi w:val="0"/>
            <w:ind w:start="-115"/>
            <w:jc w:val="start"/>
          </w:pPr>
        </w:p>
      </w:tc>
      <w:tc>
        <w:tcPr>
          <w:tcW w:w="3370" w:type="dxa"/>
          <w:tcMar/>
        </w:tcPr>
        <w:p w:rsidR="1318D97B" w:rsidP="1318D97B" w:rsidRDefault="1318D97B" w14:paraId="198335A5" w14:textId="2342D4B7">
          <w:pPr>
            <w:pStyle w:val="Header"/>
            <w:bidi w:val="0"/>
            <w:jc w:val="center"/>
          </w:pPr>
        </w:p>
      </w:tc>
      <w:tc>
        <w:tcPr>
          <w:tcW w:w="3370" w:type="dxa"/>
          <w:tcMar/>
        </w:tcPr>
        <w:p w:rsidR="1318D97B" w:rsidP="1318D97B" w:rsidRDefault="1318D97B" w14:paraId="3CD08C42" w14:textId="749486ED">
          <w:pPr>
            <w:pStyle w:val="Header"/>
            <w:bidi w:val="0"/>
            <w:ind w:end="-115"/>
            <w:jc w:val="end"/>
          </w:pPr>
        </w:p>
      </w:tc>
    </w:tr>
  </w:tbl>
  <w:p w:rsidR="1318D97B" w:rsidP="1318D97B" w:rsidRDefault="1318D97B" w14:paraId="64FD0A48" w14:textId="1616398E">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1318D97B" w:rsidTr="1318D97B" w14:paraId="3C20A4D7">
      <w:trPr>
        <w:trHeight w:val="300"/>
      </w:trPr>
      <w:tc>
        <w:tcPr>
          <w:tcW w:w="3370" w:type="dxa"/>
          <w:tcMar/>
        </w:tcPr>
        <w:p w:rsidR="1318D97B" w:rsidP="1318D97B" w:rsidRDefault="1318D97B" w14:paraId="43C613FE" w14:textId="7143A61D">
          <w:pPr>
            <w:pStyle w:val="Header"/>
            <w:bidi w:val="0"/>
            <w:ind w:start="-115"/>
            <w:jc w:val="start"/>
          </w:pPr>
        </w:p>
      </w:tc>
      <w:tc>
        <w:tcPr>
          <w:tcW w:w="3370" w:type="dxa"/>
          <w:tcMar/>
        </w:tcPr>
        <w:p w:rsidR="1318D97B" w:rsidP="1318D97B" w:rsidRDefault="1318D97B" w14:paraId="306D93F4" w14:textId="298E8D46">
          <w:pPr>
            <w:pStyle w:val="Header"/>
            <w:bidi w:val="0"/>
            <w:jc w:val="center"/>
          </w:pPr>
        </w:p>
      </w:tc>
      <w:tc>
        <w:tcPr>
          <w:tcW w:w="3370" w:type="dxa"/>
          <w:tcMar/>
        </w:tcPr>
        <w:p w:rsidR="1318D97B" w:rsidP="1318D97B" w:rsidRDefault="1318D97B" w14:paraId="0A9E9AC7" w14:textId="75CE087E">
          <w:pPr>
            <w:pStyle w:val="Header"/>
            <w:bidi w:val="0"/>
            <w:ind w:end="-115"/>
            <w:jc w:val="end"/>
          </w:pPr>
        </w:p>
      </w:tc>
    </w:tr>
  </w:tbl>
  <w:p w:rsidR="1318D97B" w:rsidP="1318D97B" w:rsidRDefault="1318D97B" w14:paraId="78BA6B2E" w14:textId="47363A4B">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1318D97B" w:rsidTr="1318D97B" w14:paraId="417A486E">
      <w:trPr>
        <w:trHeight w:val="300"/>
      </w:trPr>
      <w:tc>
        <w:tcPr>
          <w:tcW w:w="3370" w:type="dxa"/>
          <w:tcMar/>
        </w:tcPr>
        <w:p w:rsidR="1318D97B" w:rsidP="1318D97B" w:rsidRDefault="1318D97B" w14:paraId="18622E42" w14:textId="32693BD7">
          <w:pPr>
            <w:pStyle w:val="Header"/>
            <w:bidi w:val="0"/>
            <w:ind w:start="-115"/>
            <w:jc w:val="start"/>
          </w:pPr>
        </w:p>
      </w:tc>
      <w:tc>
        <w:tcPr>
          <w:tcW w:w="3370" w:type="dxa"/>
          <w:tcMar/>
        </w:tcPr>
        <w:p w:rsidR="1318D97B" w:rsidP="1318D97B" w:rsidRDefault="1318D97B" w14:paraId="40DE5F72" w14:textId="3F9F9E6A">
          <w:pPr>
            <w:pStyle w:val="Header"/>
            <w:bidi w:val="0"/>
            <w:jc w:val="center"/>
          </w:pPr>
        </w:p>
      </w:tc>
      <w:tc>
        <w:tcPr>
          <w:tcW w:w="3370" w:type="dxa"/>
          <w:tcMar/>
        </w:tcPr>
        <w:p w:rsidR="1318D97B" w:rsidP="1318D97B" w:rsidRDefault="1318D97B" w14:paraId="1D6F671B" w14:textId="298CB837">
          <w:pPr>
            <w:pStyle w:val="Header"/>
            <w:bidi w:val="0"/>
            <w:ind w:end="-115"/>
            <w:jc w:val="end"/>
          </w:pPr>
        </w:p>
      </w:tc>
    </w:tr>
  </w:tbl>
  <w:p w:rsidR="1318D97B" w:rsidP="1318D97B" w:rsidRDefault="1318D97B" w14:paraId="0525E7A1" w14:textId="0D72F0EA">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1318D97B" w:rsidTr="1318D97B" w14:paraId="03B79F85">
      <w:trPr>
        <w:trHeight w:val="300"/>
      </w:trPr>
      <w:tc>
        <w:tcPr>
          <w:tcW w:w="3360" w:type="dxa"/>
          <w:tcMar/>
        </w:tcPr>
        <w:p w:rsidR="1318D97B" w:rsidP="1318D97B" w:rsidRDefault="1318D97B" w14:paraId="53BE5983" w14:textId="7644994C">
          <w:pPr>
            <w:pStyle w:val="Header"/>
            <w:bidi w:val="0"/>
            <w:ind w:start="-115"/>
            <w:jc w:val="start"/>
          </w:pPr>
        </w:p>
      </w:tc>
      <w:tc>
        <w:tcPr>
          <w:tcW w:w="3360" w:type="dxa"/>
          <w:tcMar/>
        </w:tcPr>
        <w:p w:rsidR="1318D97B" w:rsidP="1318D97B" w:rsidRDefault="1318D97B" w14:paraId="22C7365C" w14:textId="46E8483D">
          <w:pPr>
            <w:pStyle w:val="Header"/>
            <w:bidi w:val="0"/>
            <w:jc w:val="center"/>
          </w:pPr>
        </w:p>
      </w:tc>
      <w:tc>
        <w:tcPr>
          <w:tcW w:w="3360" w:type="dxa"/>
          <w:tcMar/>
        </w:tcPr>
        <w:p w:rsidR="1318D97B" w:rsidP="1318D97B" w:rsidRDefault="1318D97B" w14:paraId="3421BFBA" w14:textId="205FFC77">
          <w:pPr>
            <w:pStyle w:val="Header"/>
            <w:bidi w:val="0"/>
            <w:ind w:end="-115"/>
            <w:jc w:val="end"/>
          </w:pPr>
        </w:p>
      </w:tc>
    </w:tr>
  </w:tbl>
  <w:p w:rsidR="1318D97B" w:rsidP="1318D97B" w:rsidRDefault="1318D97B" w14:paraId="321A81C8" w14:textId="63C45840">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1318D97B" w:rsidTr="1318D97B" w14:paraId="721C1A61">
      <w:trPr>
        <w:trHeight w:val="300"/>
      </w:trPr>
      <w:tc>
        <w:tcPr>
          <w:tcW w:w="3370" w:type="dxa"/>
          <w:tcMar/>
        </w:tcPr>
        <w:p w:rsidR="1318D97B" w:rsidP="1318D97B" w:rsidRDefault="1318D97B" w14:paraId="60DFD357" w14:textId="7AC269D0">
          <w:pPr>
            <w:pStyle w:val="Header"/>
            <w:bidi w:val="0"/>
            <w:ind w:start="-115"/>
            <w:jc w:val="start"/>
          </w:pPr>
        </w:p>
      </w:tc>
      <w:tc>
        <w:tcPr>
          <w:tcW w:w="3370" w:type="dxa"/>
          <w:tcMar/>
        </w:tcPr>
        <w:p w:rsidR="1318D97B" w:rsidP="1318D97B" w:rsidRDefault="1318D97B" w14:paraId="64A32286" w14:textId="56C97CDE">
          <w:pPr>
            <w:pStyle w:val="Header"/>
            <w:bidi w:val="0"/>
            <w:jc w:val="center"/>
          </w:pPr>
        </w:p>
      </w:tc>
      <w:tc>
        <w:tcPr>
          <w:tcW w:w="3370" w:type="dxa"/>
          <w:tcMar/>
        </w:tcPr>
        <w:p w:rsidR="1318D97B" w:rsidP="1318D97B" w:rsidRDefault="1318D97B" w14:paraId="06056738" w14:textId="117CB642">
          <w:pPr>
            <w:pStyle w:val="Header"/>
            <w:bidi w:val="0"/>
            <w:ind w:end="-115"/>
            <w:jc w:val="end"/>
          </w:pPr>
        </w:p>
      </w:tc>
    </w:tr>
  </w:tbl>
  <w:p w:rsidR="1318D97B" w:rsidP="1318D97B" w:rsidRDefault="1318D97B" w14:paraId="2A6C8C91" w14:textId="01CB03B2">
    <w:pPr>
      <w:pStyle w:val="Header"/>
      <w:bidi w:val="0"/>
    </w:pPr>
  </w:p>
</w:hdr>
</file>

<file path=word/intelligence2.xml><?xml version="1.0" encoding="utf-8"?>
<int2:intelligence xmlns:int2="http://schemas.microsoft.com/office/intelligence/2020/intelligence">
  <int2:observations>
    <int2:textHash int2:hashCode="nU1+b7JQ0ca6Ts" int2:id="0ilzGhs1">
      <int2:state int2:type="AugLoop_Text_Critique" int2:value="Rejected"/>
    </int2:textHash>
  </int2:observations>
  <int2:intelligenceSettings/>
</int2:intelligence>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xmlns:w="http://purl.oclc.org/ooxml/wordprocessingml/main" w:abstractNumId="30">
    <w:nsid w:val="1d32b80"/>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29">
    <w:nsid w:val="2ca6da5a"/>
    <w:multiLevelType xmlns:w="http://purl.oclc.org/ooxml/wordprocessingml/main" w:val="hybridMultilevel"/>
    <w:lvl xmlns:w="http://purl.oclc.org/ooxml/wordprocessingml/main" w:ilvl="0">
      <w:start w:val="1"/>
      <w:numFmt w:val="decimal"/>
      <w:lvlText w:val="%1."/>
      <w:lvlJc w:val="start"/>
      <w:pPr>
        <w:ind w:start="32.4pt" w:hanging="18pt"/>
      </w:pPr>
    </w:lvl>
    <w:lvl xmlns:w="http://purl.oclc.org/ooxml/wordprocessingml/main" w:ilvl="1">
      <w:start w:val="1"/>
      <w:numFmt w:val="lowerLetter"/>
      <w:lvlText w:val="%2."/>
      <w:lvlJc w:val="start"/>
      <w:pPr>
        <w:ind w:start="68.4pt" w:hanging="18pt"/>
      </w:pPr>
    </w:lvl>
    <w:lvl xmlns:w="http://purl.oclc.org/ooxml/wordprocessingml/main" w:ilvl="2">
      <w:start w:val="1"/>
      <w:numFmt w:val="lowerRoman"/>
      <w:lvlText w:val="%3."/>
      <w:lvlJc w:val="end"/>
      <w:pPr>
        <w:ind w:start="104.4pt" w:hanging="9pt"/>
      </w:pPr>
    </w:lvl>
    <w:lvl xmlns:w="http://purl.oclc.org/ooxml/wordprocessingml/main" w:ilvl="3">
      <w:start w:val="1"/>
      <w:numFmt w:val="decimal"/>
      <w:lvlText w:val="%4."/>
      <w:lvlJc w:val="start"/>
      <w:pPr>
        <w:ind w:start="140.4pt" w:hanging="18pt"/>
      </w:pPr>
    </w:lvl>
    <w:lvl xmlns:w="http://purl.oclc.org/ooxml/wordprocessingml/main" w:ilvl="4">
      <w:start w:val="1"/>
      <w:numFmt w:val="lowerLetter"/>
      <w:lvlText w:val="%5."/>
      <w:lvlJc w:val="start"/>
      <w:pPr>
        <w:ind w:start="176.4pt" w:hanging="18pt"/>
      </w:pPr>
    </w:lvl>
    <w:lvl xmlns:w="http://purl.oclc.org/ooxml/wordprocessingml/main" w:ilvl="5">
      <w:start w:val="1"/>
      <w:numFmt w:val="lowerRoman"/>
      <w:lvlText w:val="%6."/>
      <w:lvlJc w:val="end"/>
      <w:pPr>
        <w:ind w:start="212.4pt" w:hanging="9pt"/>
      </w:pPr>
    </w:lvl>
    <w:lvl xmlns:w="http://purl.oclc.org/ooxml/wordprocessingml/main" w:ilvl="6">
      <w:start w:val="1"/>
      <w:numFmt w:val="decimal"/>
      <w:lvlText w:val="%7."/>
      <w:lvlJc w:val="start"/>
      <w:pPr>
        <w:ind w:start="248.4pt" w:hanging="18pt"/>
      </w:pPr>
    </w:lvl>
    <w:lvl xmlns:w="http://purl.oclc.org/ooxml/wordprocessingml/main" w:ilvl="7">
      <w:start w:val="1"/>
      <w:numFmt w:val="lowerLetter"/>
      <w:lvlText w:val="%8."/>
      <w:lvlJc w:val="start"/>
      <w:pPr>
        <w:ind w:start="284.4pt" w:hanging="18pt"/>
      </w:pPr>
    </w:lvl>
    <w:lvl xmlns:w="http://purl.oclc.org/ooxml/wordprocessingml/main" w:ilvl="8">
      <w:start w:val="1"/>
      <w:numFmt w:val="lowerRoman"/>
      <w:lvlText w:val="%9."/>
      <w:lvlJc w:val="end"/>
      <w:pPr>
        <w:ind w:start="320.4pt" w:hanging="9pt"/>
      </w:pPr>
    </w:lvl>
  </w:abstractNum>
  <w:abstractNum xmlns:w="http://purl.oclc.org/ooxml/wordprocessingml/main" w:abstractNumId="28">
    <w:nsid w:val="17d86b"/>
    <w:multiLevelType xmlns:w="http://purl.oclc.org/ooxml/wordprocessingml/main" w:val="hybridMultilevel"/>
    <w:lvl xmlns:w="http://purl.oclc.org/ooxml/wordprocessingml/main" w:ilvl="0">
      <w:start w:val="5"/>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27">
    <w:nsid w:val="5b412cc0"/>
    <w:multiLevelType xmlns:w="http://purl.oclc.org/ooxml/wordprocessingml/main" w:val="hybridMultilevel"/>
    <w:lvl xmlns:w="http://purl.oclc.org/ooxml/wordprocessingml/main" w:ilvl="0">
      <w:start w:val="4"/>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26">
    <w:nsid w:val="399bd840"/>
    <w:multiLevelType xmlns:w="http://purl.oclc.org/ooxml/wordprocessingml/main" w:val="hybridMultilevel"/>
    <w:lvl xmlns:w="http://purl.oclc.org/ooxml/wordprocessingml/main" w:ilvl="0">
      <w:start w:val="3"/>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25">
    <w:nsid w:val="42146009"/>
    <w:multiLevelType xmlns:w="http://purl.oclc.org/ooxml/wordprocessingml/main" w:val="hybridMultilevel"/>
    <w:lvl xmlns:w="http://purl.oclc.org/ooxml/wordprocessingml/main" w:ilvl="0">
      <w:start w:val="2"/>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24">
    <w:nsid w:val="5887274"/>
    <w:multiLevelType xmlns:w="http://purl.oclc.org/ooxml/wordprocessingml/main" w:val="hybridMultilevel"/>
    <w:lvl xmlns:w="http://purl.oclc.org/ooxml/wordprocessingml/main" w:ilvl="0">
      <w:start w:val="1"/>
      <w:numFmt w:val="bullet"/>
      <w:lvlText w:val=""/>
      <w:lvlJc w:val="start"/>
      <w:pPr>
        <w:ind w:start="36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23">
    <w:nsid w:val="17ff4940"/>
    <w:multiLevelType xmlns:w="http://purl.oclc.org/ooxml/wordprocessingml/main" w:val="hybridMultilevel"/>
    <w:lvl xmlns:w="http://purl.oclc.org/ooxml/wordprocessingml/main" w:ilvl="0">
      <w:start w:val="1"/>
      <w:numFmt w:val="bullet"/>
      <w:lvlText w:val=""/>
      <w:lvlJc w:val="start"/>
      <w:pPr>
        <w:ind w:start="36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22">
    <w:nsid w:val="38d78a5e"/>
    <w:multiLevelType xmlns:w="http://purl.oclc.org/ooxml/wordprocessingml/main" w:val="hybridMultilevel"/>
    <w:lvl xmlns:w="http://purl.oclc.org/ooxml/wordprocessingml/main" w:ilvl="0">
      <w:start w:val="1"/>
      <w:numFmt w:val="upperLetter"/>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21">
    <w:nsid w:val="510db71a"/>
    <w:multiLevelType xmlns:w="http://purl.oclc.org/ooxml/wordprocessingml/main" w:val="hybridMultilevel"/>
    <w:lvl xmlns:w="http://purl.oclc.org/ooxml/wordprocessingml/main" w:ilvl="0">
      <w:start w:val="1"/>
      <w:numFmt w:val="bullet"/>
      <w:lvlText w:val=""/>
      <w:lvlJc w:val="start"/>
      <w:pPr>
        <w:ind w:start="32.4pt" w:hanging="18pt"/>
      </w:pPr>
      <w:rPr>
        <w:rFonts w:hint="default" w:ascii="Symbol" w:hAnsi="Symbol"/>
      </w:rPr>
    </w:lvl>
    <w:lvl xmlns:w="http://purl.oclc.org/ooxml/wordprocessingml/main" w:ilvl="1">
      <w:start w:val="1"/>
      <w:numFmt w:val="bullet"/>
      <w:lvlText w:val="o"/>
      <w:lvlJc w:val="start"/>
      <w:pPr>
        <w:ind w:start="68.4pt" w:hanging="18pt"/>
      </w:pPr>
      <w:rPr>
        <w:rFonts w:hint="default" w:ascii="Courier New" w:hAnsi="Courier New"/>
      </w:rPr>
    </w:lvl>
    <w:lvl xmlns:w="http://purl.oclc.org/ooxml/wordprocessingml/main" w:ilvl="2">
      <w:start w:val="1"/>
      <w:numFmt w:val="bullet"/>
      <w:lvlText w:val=""/>
      <w:lvlJc w:val="start"/>
      <w:pPr>
        <w:ind w:start="104.4pt" w:hanging="18pt"/>
      </w:pPr>
      <w:rPr>
        <w:rFonts w:hint="default" w:ascii="Wingdings" w:hAnsi="Wingdings"/>
      </w:rPr>
    </w:lvl>
    <w:lvl xmlns:w="http://purl.oclc.org/ooxml/wordprocessingml/main" w:ilvl="3">
      <w:start w:val="1"/>
      <w:numFmt w:val="bullet"/>
      <w:lvlText w:val=""/>
      <w:lvlJc w:val="start"/>
      <w:pPr>
        <w:ind w:start="140.4pt" w:hanging="18pt"/>
      </w:pPr>
      <w:rPr>
        <w:rFonts w:hint="default" w:ascii="Symbol" w:hAnsi="Symbol"/>
      </w:rPr>
    </w:lvl>
    <w:lvl xmlns:w="http://purl.oclc.org/ooxml/wordprocessingml/main" w:ilvl="4">
      <w:start w:val="1"/>
      <w:numFmt w:val="bullet"/>
      <w:lvlText w:val="o"/>
      <w:lvlJc w:val="start"/>
      <w:pPr>
        <w:ind w:start="176.4pt" w:hanging="18pt"/>
      </w:pPr>
      <w:rPr>
        <w:rFonts w:hint="default" w:ascii="Courier New" w:hAnsi="Courier New"/>
      </w:rPr>
    </w:lvl>
    <w:lvl xmlns:w="http://purl.oclc.org/ooxml/wordprocessingml/main" w:ilvl="5">
      <w:start w:val="1"/>
      <w:numFmt w:val="bullet"/>
      <w:lvlText w:val=""/>
      <w:lvlJc w:val="start"/>
      <w:pPr>
        <w:ind w:start="212.4pt" w:hanging="18pt"/>
      </w:pPr>
      <w:rPr>
        <w:rFonts w:hint="default" w:ascii="Wingdings" w:hAnsi="Wingdings"/>
      </w:rPr>
    </w:lvl>
    <w:lvl xmlns:w="http://purl.oclc.org/ooxml/wordprocessingml/main" w:ilvl="6">
      <w:start w:val="1"/>
      <w:numFmt w:val="bullet"/>
      <w:lvlText w:val=""/>
      <w:lvlJc w:val="start"/>
      <w:pPr>
        <w:ind w:start="248.4pt" w:hanging="18pt"/>
      </w:pPr>
      <w:rPr>
        <w:rFonts w:hint="default" w:ascii="Symbol" w:hAnsi="Symbol"/>
      </w:rPr>
    </w:lvl>
    <w:lvl xmlns:w="http://purl.oclc.org/ooxml/wordprocessingml/main" w:ilvl="7">
      <w:start w:val="1"/>
      <w:numFmt w:val="bullet"/>
      <w:lvlText w:val="o"/>
      <w:lvlJc w:val="start"/>
      <w:pPr>
        <w:ind w:start="284.4pt" w:hanging="18pt"/>
      </w:pPr>
      <w:rPr>
        <w:rFonts w:hint="default" w:ascii="Courier New" w:hAnsi="Courier New"/>
      </w:rPr>
    </w:lvl>
    <w:lvl xmlns:w="http://purl.oclc.org/ooxml/wordprocessingml/main" w:ilvl="8">
      <w:start w:val="1"/>
      <w:numFmt w:val="bullet"/>
      <w:lvlText w:val=""/>
      <w:lvlJc w:val="start"/>
      <w:pPr>
        <w:ind w:start="320.4pt" w:hanging="18pt"/>
      </w:pPr>
      <w:rPr>
        <w:rFonts w:hint="default" w:ascii="Wingdings" w:hAnsi="Wingdings"/>
      </w:rPr>
    </w:lvl>
  </w:abstractNum>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hint="default" w:ascii="Symbol" w:hAnsi="Symbol"/>
      </w:rPr>
    </w:lvl>
    <w:lvl w:ilvl="1">
      <w:start w:val="1"/>
      <w:numFmt w:val="bullet"/>
      <w:lvlText w:val=""/>
      <w:lvlJc w:val="start"/>
      <w:pPr>
        <w:tabs>
          <w:tab w:val="num" w:pos="36pt"/>
        </w:tabs>
        <w:ind w:start="54pt" w:hanging="18pt"/>
      </w:pPr>
      <w:rPr>
        <w:rFonts w:hint="default" w:ascii="Symbol" w:hAnsi="Symbol"/>
      </w:rPr>
    </w:lvl>
    <w:lvl w:ilvl="2">
      <w:start w:val="1"/>
      <w:numFmt w:val="bullet"/>
      <w:lvlText w:val="o"/>
      <w:lvlJc w:val="start"/>
      <w:pPr>
        <w:tabs>
          <w:tab w:val="num" w:pos="72pt"/>
        </w:tabs>
        <w:ind w:start="90pt" w:hanging="18pt"/>
      </w:pPr>
      <w:rPr>
        <w:rFonts w:hint="default" w:ascii="Courier New" w:hAnsi="Courier New" w:cs="Courier New"/>
      </w:rPr>
    </w:lvl>
    <w:lvl w:ilvl="3">
      <w:start w:val="1"/>
      <w:numFmt w:val="bullet"/>
      <w:lvlText w:val=""/>
      <w:lvlJc w:val="start"/>
      <w:pPr>
        <w:tabs>
          <w:tab w:val="num" w:pos="108pt"/>
        </w:tabs>
        <w:ind w:start="126pt" w:hanging="18pt"/>
      </w:pPr>
      <w:rPr>
        <w:rFonts w:hint="default" w:ascii="Wingdings" w:hAnsi="Wingdings"/>
      </w:rPr>
    </w:lvl>
    <w:lvl w:ilvl="4">
      <w:start w:val="1"/>
      <w:numFmt w:val="bullet"/>
      <w:lvlText w:val=""/>
      <w:lvlJc w:val="start"/>
      <w:pPr>
        <w:tabs>
          <w:tab w:val="num" w:pos="144pt"/>
        </w:tabs>
        <w:ind w:start="162pt" w:hanging="18pt"/>
      </w:pPr>
      <w:rPr>
        <w:rFonts w:hint="default" w:ascii="Wingdings" w:hAnsi="Wingdings"/>
      </w:rPr>
    </w:lvl>
    <w:lvl w:ilvl="5">
      <w:start w:val="1"/>
      <w:numFmt w:val="bullet"/>
      <w:lvlText w:val=""/>
      <w:lvlJc w:val="start"/>
      <w:pPr>
        <w:tabs>
          <w:tab w:val="num" w:pos="180pt"/>
        </w:tabs>
        <w:ind w:start="198pt" w:hanging="18pt"/>
      </w:pPr>
      <w:rPr>
        <w:rFonts w:hint="default" w:ascii="Symbol" w:hAnsi="Symbol"/>
      </w:rPr>
    </w:lvl>
    <w:lvl w:ilvl="6">
      <w:start w:val="1"/>
      <w:numFmt w:val="bullet"/>
      <w:lvlText w:val="o"/>
      <w:lvlJc w:val="start"/>
      <w:pPr>
        <w:tabs>
          <w:tab w:val="num" w:pos="216pt"/>
        </w:tabs>
        <w:ind w:start="234pt" w:hanging="18pt"/>
      </w:pPr>
      <w:rPr>
        <w:rFonts w:hint="default" w:ascii="Courier New" w:hAnsi="Courier New" w:cs="Courier New"/>
      </w:rPr>
    </w:lvl>
    <w:lvl w:ilvl="7">
      <w:start w:val="1"/>
      <w:numFmt w:val="bullet"/>
      <w:lvlText w:val=""/>
      <w:lvlJc w:val="start"/>
      <w:pPr>
        <w:tabs>
          <w:tab w:val="num" w:pos="252pt"/>
        </w:tabs>
        <w:ind w:start="270pt" w:hanging="18pt"/>
      </w:pPr>
      <w:rPr>
        <w:rFonts w:hint="default" w:ascii="Wingdings" w:hAnsi="Wingdings"/>
      </w:rPr>
    </w:lvl>
    <w:lvl w:ilvl="8">
      <w:start w:val="1"/>
      <w:numFmt w:val="bullet"/>
      <w:lvlText w:val=""/>
      <w:lvlJc w:val="start"/>
      <w:pPr>
        <w:tabs>
          <w:tab w:val="num" w:pos="288pt"/>
        </w:tabs>
        <w:ind w:start="306pt" w:hanging="18pt"/>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hint="default" w:ascii="Symbol" w:hAnsi="Symbol"/>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hint="default" w:cs="Times New Roman"/>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hint="default" w:ascii="Symbol" w:hAnsi="Symbol"/>
      </w:rPr>
    </w:lvl>
    <w:lvl w:ilvl="1" w:tplc="04090003">
      <w:start w:val="1"/>
      <w:numFmt w:val="bullet"/>
      <w:lvlText w:val="o"/>
      <w:lvlJc w:val="start"/>
      <w:pPr>
        <w:tabs>
          <w:tab w:val="num" w:pos="72pt"/>
        </w:tabs>
        <w:ind w:start="72pt" w:hanging="18pt"/>
      </w:pPr>
      <w:rPr>
        <w:rFonts w:hint="default" w:ascii="Courier New" w:hAnsi="Courier New"/>
      </w:rPr>
    </w:lvl>
    <w:lvl w:ilvl="2" w:tplc="04090005">
      <w:start w:val="1"/>
      <w:numFmt w:val="bullet"/>
      <w:lvlText w:val=""/>
      <w:lvlJc w:val="start"/>
      <w:pPr>
        <w:tabs>
          <w:tab w:val="num" w:pos="108pt"/>
        </w:tabs>
        <w:ind w:start="108pt" w:hanging="18pt"/>
      </w:pPr>
      <w:rPr>
        <w:rFonts w:hint="default" w:ascii="Wingdings" w:hAnsi="Wingdings"/>
      </w:rPr>
    </w:lvl>
    <w:lvl w:ilvl="3" w:tplc="04090001">
      <w:start w:val="1"/>
      <w:numFmt w:val="bullet"/>
      <w:lvlText w:val=""/>
      <w:lvlJc w:val="start"/>
      <w:pPr>
        <w:tabs>
          <w:tab w:val="num" w:pos="144pt"/>
        </w:tabs>
        <w:ind w:start="144pt" w:hanging="18pt"/>
      </w:pPr>
      <w:rPr>
        <w:rFonts w:hint="default" w:ascii="Symbol" w:hAnsi="Symbol"/>
      </w:rPr>
    </w:lvl>
    <w:lvl w:ilvl="4" w:tplc="04090003">
      <w:start w:val="1"/>
      <w:numFmt w:val="bullet"/>
      <w:lvlText w:val="o"/>
      <w:lvlJc w:val="start"/>
      <w:pPr>
        <w:tabs>
          <w:tab w:val="num" w:pos="180pt"/>
        </w:tabs>
        <w:ind w:start="180pt" w:hanging="18pt"/>
      </w:pPr>
      <w:rPr>
        <w:rFonts w:hint="default" w:ascii="Courier New" w:hAnsi="Courier New"/>
      </w:rPr>
    </w:lvl>
    <w:lvl w:ilvl="5" w:tplc="04090005">
      <w:start w:val="1"/>
      <w:numFmt w:val="bullet"/>
      <w:lvlText w:val=""/>
      <w:lvlJc w:val="start"/>
      <w:pPr>
        <w:tabs>
          <w:tab w:val="num" w:pos="216pt"/>
        </w:tabs>
        <w:ind w:start="216pt" w:hanging="18pt"/>
      </w:pPr>
      <w:rPr>
        <w:rFonts w:hint="default" w:ascii="Wingdings" w:hAnsi="Wingdings"/>
      </w:rPr>
    </w:lvl>
    <w:lvl w:ilvl="6" w:tplc="04090001">
      <w:start w:val="1"/>
      <w:numFmt w:val="bullet"/>
      <w:lvlText w:val=""/>
      <w:lvlJc w:val="start"/>
      <w:pPr>
        <w:tabs>
          <w:tab w:val="num" w:pos="252pt"/>
        </w:tabs>
        <w:ind w:start="252pt" w:hanging="18pt"/>
      </w:pPr>
      <w:rPr>
        <w:rFonts w:hint="default" w:ascii="Symbol" w:hAnsi="Symbol"/>
      </w:rPr>
    </w:lvl>
    <w:lvl w:ilvl="7" w:tplc="04090003">
      <w:start w:val="1"/>
      <w:numFmt w:val="bullet"/>
      <w:lvlText w:val="o"/>
      <w:lvlJc w:val="start"/>
      <w:pPr>
        <w:tabs>
          <w:tab w:val="num" w:pos="288pt"/>
        </w:tabs>
        <w:ind w:start="288pt" w:hanging="18pt"/>
      </w:pPr>
      <w:rPr>
        <w:rFonts w:hint="default" w:ascii="Courier New" w:hAnsi="Courier New"/>
      </w:rPr>
    </w:lvl>
    <w:lvl w:ilvl="8" w:tplc="04090005">
      <w:start w:val="1"/>
      <w:numFmt w:val="bullet"/>
      <w:lvlText w:val=""/>
      <w:lvlJc w:val="start"/>
      <w:pPr>
        <w:tabs>
          <w:tab w:val="num" w:pos="324pt"/>
        </w:tabs>
        <w:ind w:start="324pt" w:hanging="18pt"/>
      </w:pPr>
      <w:rPr>
        <w:rFonts w:hint="default" w:ascii="Wingdings" w:hAnsi="Wingdings"/>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hint="default" w:cs="Times New Roman"/>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hint="default" w:ascii="Times New Roman" w:hAnsi="Times New Roman" w:cs="Times New Roman"/>
        <w:b w:val="0"/>
        <w:bCs w:val="0"/>
        <w:i/>
        <w:iCs/>
        <w:sz w:val="20"/>
        <w:szCs w:val="20"/>
      </w:rPr>
    </w:lvl>
    <w:lvl w:ilvl="4">
      <w:start w:val="1"/>
      <w:numFmt w:val="none"/>
      <w:lvlRestart w:val="0"/>
      <w:lvlText w:val=""/>
      <w:lvlJc w:val="start"/>
      <w:pPr>
        <w:tabs>
          <w:tab w:val="num" w:pos="162pt"/>
        </w:tabs>
        <w:ind w:start="144pt"/>
      </w:pPr>
      <w:rPr>
        <w:rFonts w:hint="default" w:cs="Times New Roman"/>
      </w:rPr>
    </w:lvl>
    <w:lvl w:ilvl="5">
      <w:start w:val="1"/>
      <w:numFmt w:val="lowerLetter"/>
      <w:lvlText w:val="(%6)"/>
      <w:lvlJc w:val="start"/>
      <w:pPr>
        <w:tabs>
          <w:tab w:val="num" w:pos="198pt"/>
        </w:tabs>
        <w:ind w:start="180pt"/>
      </w:pPr>
      <w:rPr>
        <w:rFonts w:hint="default" w:cs="Times New Roman"/>
      </w:rPr>
    </w:lvl>
    <w:lvl w:ilvl="6">
      <w:start w:val="1"/>
      <w:numFmt w:val="lowerRoman"/>
      <w:lvlText w:val="(%7)"/>
      <w:lvlJc w:val="start"/>
      <w:pPr>
        <w:tabs>
          <w:tab w:val="num" w:pos="234pt"/>
        </w:tabs>
        <w:ind w:start="216pt"/>
      </w:pPr>
      <w:rPr>
        <w:rFonts w:hint="default" w:cs="Times New Roman"/>
      </w:rPr>
    </w:lvl>
    <w:lvl w:ilvl="7">
      <w:start w:val="1"/>
      <w:numFmt w:val="lowerLetter"/>
      <w:lvlText w:val="(%8)"/>
      <w:lvlJc w:val="start"/>
      <w:pPr>
        <w:tabs>
          <w:tab w:val="num" w:pos="270pt"/>
        </w:tabs>
        <w:ind w:start="252pt"/>
      </w:pPr>
      <w:rPr>
        <w:rFonts w:hint="default" w:cs="Times New Roman"/>
      </w:rPr>
    </w:lvl>
    <w:lvl w:ilvl="8">
      <w:start w:val="1"/>
      <w:numFmt w:val="lowerRoman"/>
      <w:lvlText w:val="(%9)"/>
      <w:lvlJc w:val="start"/>
      <w:pPr>
        <w:tabs>
          <w:tab w:val="num" w:pos="306pt"/>
        </w:tabs>
        <w:ind w:start="288pt"/>
      </w:pPr>
      <w:rPr>
        <w:rFonts w:hint="default" w:cs="Times New Roman"/>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hint="default" w:ascii="Times New Roman" w:hAnsi="Times New Roman"/>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hint="default" w:ascii="Times New Roman" w:hAnsi="Times New Roman" w:cs="Times New Roman"/>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hint="default" w:ascii="Times New Roman" w:hAnsi="Times New Roman" w:cs="Times New Roman"/>
        <w:b w:val="0"/>
        <w:bCs w:val="0"/>
        <w:i w:val="0"/>
        <w:iCs w:val="0"/>
        <w:sz w:val="16"/>
        <w:szCs w:val="16"/>
      </w:rPr>
    </w:lvl>
  </w:abstract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1" w16cid:durableId="1369909383">
    <w:abstractNumId w:val="14"/>
  </w:num>
  <w:num w:numId="2" w16cid:durableId="568543031">
    <w:abstractNumId w:val="19"/>
  </w:num>
  <w:num w:numId="3" w16cid:durableId="1207790780">
    <w:abstractNumId w:val="13"/>
  </w:num>
  <w:num w:numId="4" w16cid:durableId="629168631">
    <w:abstractNumId w:val="16"/>
  </w:num>
  <w:num w:numId="5" w16cid:durableId="1032806882">
    <w:abstractNumId w:val="16"/>
  </w:num>
  <w:num w:numId="6" w16cid:durableId="1614826021">
    <w:abstractNumId w:val="16"/>
  </w:num>
  <w:num w:numId="7" w16cid:durableId="1871990542">
    <w:abstractNumId w:val="16"/>
  </w:num>
  <w:num w:numId="8" w16cid:durableId="2088458160">
    <w:abstractNumId w:val="18"/>
  </w:num>
  <w:num w:numId="9" w16cid:durableId="231694775">
    <w:abstractNumId w:val="20"/>
  </w:num>
  <w:num w:numId="10" w16cid:durableId="2126189682">
    <w:abstractNumId w:val="15"/>
  </w:num>
  <w:num w:numId="11" w16cid:durableId="771515552">
    <w:abstractNumId w:val="12"/>
  </w:num>
  <w:num w:numId="12" w16cid:durableId="1603688421">
    <w:abstractNumId w:val="11"/>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purl.oclc.org/ooxml/schemaLibrary/main" mc:Ignorable="w14 w15 w16se w16cid w16 w16cex w16sdtdh wp14">
  <w:zoom w:percent="100%"/>
  <w:embedSystemFonts/>
  <w:trackRevisions w:val="false"/>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5D22"/>
    <w:rsid w:val="00651A08"/>
    <w:rsid w:val="00654204"/>
    <w:rsid w:val="00670434"/>
    <w:rsid w:val="006A5D82"/>
    <w:rsid w:val="006B6B66"/>
    <w:rsid w:val="006F6D3D"/>
    <w:rsid w:val="00715BEA"/>
    <w:rsid w:val="00740EEA"/>
    <w:rsid w:val="00794804"/>
    <w:rsid w:val="007B33F1"/>
    <w:rsid w:val="007B6DDA"/>
    <w:rsid w:val="007C0308"/>
    <w:rsid w:val="007C2FF2"/>
    <w:rsid w:val="007D6232"/>
    <w:rsid w:val="007F1F99"/>
    <w:rsid w:val="007F768F"/>
    <w:rsid w:val="0080791D"/>
    <w:rsid w:val="008147B5"/>
    <w:rsid w:val="00836367"/>
    <w:rsid w:val="00873603"/>
    <w:rsid w:val="008A2C7D"/>
    <w:rsid w:val="008B6524"/>
    <w:rsid w:val="008C4B23"/>
    <w:rsid w:val="008F6E2C"/>
    <w:rsid w:val="009303D9"/>
    <w:rsid w:val="00933C64"/>
    <w:rsid w:val="00972203"/>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 w:val="01070493"/>
    <w:rsid w:val="01070493"/>
    <w:rsid w:val="0197C90B"/>
    <w:rsid w:val="027D6A52"/>
    <w:rsid w:val="03089CC0"/>
    <w:rsid w:val="03089CC0"/>
    <w:rsid w:val="0314AE15"/>
    <w:rsid w:val="03351462"/>
    <w:rsid w:val="039A37BB"/>
    <w:rsid w:val="05837CA4"/>
    <w:rsid w:val="0623EF8C"/>
    <w:rsid w:val="0623EF8C"/>
    <w:rsid w:val="06F5766A"/>
    <w:rsid w:val="0713DF7E"/>
    <w:rsid w:val="07447C89"/>
    <w:rsid w:val="0816128E"/>
    <w:rsid w:val="08EA343F"/>
    <w:rsid w:val="08EAB29F"/>
    <w:rsid w:val="08EAB29F"/>
    <w:rsid w:val="08F65FD5"/>
    <w:rsid w:val="09662EDB"/>
    <w:rsid w:val="097A85E3"/>
    <w:rsid w:val="09D2C40B"/>
    <w:rsid w:val="0A1911BE"/>
    <w:rsid w:val="0A1911BE"/>
    <w:rsid w:val="0AE8A329"/>
    <w:rsid w:val="0B3B3986"/>
    <w:rsid w:val="0C807D2C"/>
    <w:rsid w:val="0C807D2C"/>
    <w:rsid w:val="0D3FB3E6"/>
    <w:rsid w:val="0D3FB3E6"/>
    <w:rsid w:val="0E190141"/>
    <w:rsid w:val="0E5EC1DA"/>
    <w:rsid w:val="0E8D8DFE"/>
    <w:rsid w:val="0EEA8342"/>
    <w:rsid w:val="0F24BE06"/>
    <w:rsid w:val="0F47329C"/>
    <w:rsid w:val="0FAEBE30"/>
    <w:rsid w:val="100BD721"/>
    <w:rsid w:val="1106F798"/>
    <w:rsid w:val="12406045"/>
    <w:rsid w:val="12E20EA5"/>
    <w:rsid w:val="1318D97B"/>
    <w:rsid w:val="132A1EC9"/>
    <w:rsid w:val="133E8784"/>
    <w:rsid w:val="140436C8"/>
    <w:rsid w:val="141E0799"/>
    <w:rsid w:val="141E0799"/>
    <w:rsid w:val="150FB8D5"/>
    <w:rsid w:val="15754FE8"/>
    <w:rsid w:val="15FF5E34"/>
    <w:rsid w:val="1797B458"/>
    <w:rsid w:val="1871CE1C"/>
    <w:rsid w:val="1873A217"/>
    <w:rsid w:val="19169610"/>
    <w:rsid w:val="194FE00C"/>
    <w:rsid w:val="194FE00C"/>
    <w:rsid w:val="19770FA6"/>
    <w:rsid w:val="1A19B243"/>
    <w:rsid w:val="1A19B243"/>
    <w:rsid w:val="1CC626A9"/>
    <w:rsid w:val="1CD2808F"/>
    <w:rsid w:val="1DD1344C"/>
    <w:rsid w:val="1E33C3F8"/>
    <w:rsid w:val="1EB33E38"/>
    <w:rsid w:val="1F0EE906"/>
    <w:rsid w:val="1F72A878"/>
    <w:rsid w:val="20D61DB3"/>
    <w:rsid w:val="221D4B5B"/>
    <w:rsid w:val="234FEC2F"/>
    <w:rsid w:val="23829B2D"/>
    <w:rsid w:val="238689BF"/>
    <w:rsid w:val="23A1710A"/>
    <w:rsid w:val="2460A76B"/>
    <w:rsid w:val="247FB848"/>
    <w:rsid w:val="25B5CE96"/>
    <w:rsid w:val="2694BA92"/>
    <w:rsid w:val="2694BA92"/>
    <w:rsid w:val="287E2596"/>
    <w:rsid w:val="28CF84DA"/>
    <w:rsid w:val="293143ED"/>
    <w:rsid w:val="2933C71A"/>
    <w:rsid w:val="29CE0370"/>
    <w:rsid w:val="2B527B75"/>
    <w:rsid w:val="2BD0DE12"/>
    <w:rsid w:val="2BD0DE12"/>
    <w:rsid w:val="2C1752A4"/>
    <w:rsid w:val="2C3CA8F7"/>
    <w:rsid w:val="2C5A405F"/>
    <w:rsid w:val="2DB33DEF"/>
    <w:rsid w:val="2E028DEA"/>
    <w:rsid w:val="3119E151"/>
    <w:rsid w:val="3175C6CA"/>
    <w:rsid w:val="317D450A"/>
    <w:rsid w:val="32458A5F"/>
    <w:rsid w:val="327D013F"/>
    <w:rsid w:val="33E97B34"/>
    <w:rsid w:val="340AA16D"/>
    <w:rsid w:val="3464A6CE"/>
    <w:rsid w:val="34B547CB"/>
    <w:rsid w:val="34C66997"/>
    <w:rsid w:val="35D7388A"/>
    <w:rsid w:val="36058ECD"/>
    <w:rsid w:val="3617350F"/>
    <w:rsid w:val="365A5F15"/>
    <w:rsid w:val="36E432D6"/>
    <w:rsid w:val="371A889B"/>
    <w:rsid w:val="372452D5"/>
    <w:rsid w:val="383A03E6"/>
    <w:rsid w:val="383A03E6"/>
    <w:rsid w:val="38FF4FC1"/>
    <w:rsid w:val="394F5523"/>
    <w:rsid w:val="39BAE60A"/>
    <w:rsid w:val="3AD5214A"/>
    <w:rsid w:val="3C29579D"/>
    <w:rsid w:val="3C29579D"/>
    <w:rsid w:val="3CE2C933"/>
    <w:rsid w:val="3D06A2E7"/>
    <w:rsid w:val="3DBE7951"/>
    <w:rsid w:val="3DBE7951"/>
    <w:rsid w:val="3DD1C21F"/>
    <w:rsid w:val="3E927564"/>
    <w:rsid w:val="3F4D6446"/>
    <w:rsid w:val="3FF5D11C"/>
    <w:rsid w:val="4040F167"/>
    <w:rsid w:val="404546AB"/>
    <w:rsid w:val="404546AB"/>
    <w:rsid w:val="415F29CF"/>
    <w:rsid w:val="415F29CF"/>
    <w:rsid w:val="42573418"/>
    <w:rsid w:val="4274674C"/>
    <w:rsid w:val="427D3250"/>
    <w:rsid w:val="42F21025"/>
    <w:rsid w:val="43B82727"/>
    <w:rsid w:val="43B82727"/>
    <w:rsid w:val="43C0AB71"/>
    <w:rsid w:val="44342F65"/>
    <w:rsid w:val="44C8E1AA"/>
    <w:rsid w:val="4532A103"/>
    <w:rsid w:val="455C5038"/>
    <w:rsid w:val="4572758A"/>
    <w:rsid w:val="4584026B"/>
    <w:rsid w:val="46FE265C"/>
    <w:rsid w:val="46FE265C"/>
    <w:rsid w:val="481D42DA"/>
    <w:rsid w:val="499146A9"/>
    <w:rsid w:val="499146A9"/>
    <w:rsid w:val="4A634360"/>
    <w:rsid w:val="4AB24061"/>
    <w:rsid w:val="4AE95A53"/>
    <w:rsid w:val="4AE95A53"/>
    <w:rsid w:val="4B22287D"/>
    <w:rsid w:val="4B50D653"/>
    <w:rsid w:val="4B50D653"/>
    <w:rsid w:val="4B83CC6E"/>
    <w:rsid w:val="4C39B3AF"/>
    <w:rsid w:val="4C39B3AF"/>
    <w:rsid w:val="4CCA8333"/>
    <w:rsid w:val="4CD8FBAD"/>
    <w:rsid w:val="4D36BC90"/>
    <w:rsid w:val="4F9345D1"/>
    <w:rsid w:val="4F94B616"/>
    <w:rsid w:val="4FD54302"/>
    <w:rsid w:val="5029A07F"/>
    <w:rsid w:val="50FB79C2"/>
    <w:rsid w:val="5155DFE0"/>
    <w:rsid w:val="5217F9FA"/>
    <w:rsid w:val="5217F9FA"/>
    <w:rsid w:val="528F0814"/>
    <w:rsid w:val="528F0814"/>
    <w:rsid w:val="53AADA8C"/>
    <w:rsid w:val="5538D899"/>
    <w:rsid w:val="5538D899"/>
    <w:rsid w:val="555374F6"/>
    <w:rsid w:val="56089CCE"/>
    <w:rsid w:val="571872AC"/>
    <w:rsid w:val="573A9228"/>
    <w:rsid w:val="577F9138"/>
    <w:rsid w:val="578FE3A7"/>
    <w:rsid w:val="5892ED4C"/>
    <w:rsid w:val="5927A450"/>
    <w:rsid w:val="5927A450"/>
    <w:rsid w:val="59F90247"/>
    <w:rsid w:val="5BE104FD"/>
    <w:rsid w:val="5BE104FD"/>
    <w:rsid w:val="5C77DB91"/>
    <w:rsid w:val="5D43740C"/>
    <w:rsid w:val="5D86CAA9"/>
    <w:rsid w:val="5DCDAD87"/>
    <w:rsid w:val="5E008840"/>
    <w:rsid w:val="5E0F0415"/>
    <w:rsid w:val="5E4C9724"/>
    <w:rsid w:val="5E6A2FF9"/>
    <w:rsid w:val="5E6A2FF9"/>
    <w:rsid w:val="5FC4CE5E"/>
    <w:rsid w:val="60E35ACA"/>
    <w:rsid w:val="614ECA6E"/>
    <w:rsid w:val="61D0D43E"/>
    <w:rsid w:val="61FCAD58"/>
    <w:rsid w:val="620C7376"/>
    <w:rsid w:val="623CBB4F"/>
    <w:rsid w:val="6464301A"/>
    <w:rsid w:val="6469A61A"/>
    <w:rsid w:val="658724D7"/>
    <w:rsid w:val="65D0C3DA"/>
    <w:rsid w:val="65D0C3DA"/>
    <w:rsid w:val="67157AA8"/>
    <w:rsid w:val="67637588"/>
    <w:rsid w:val="67637588"/>
    <w:rsid w:val="68208D5B"/>
    <w:rsid w:val="6863FE66"/>
    <w:rsid w:val="69B6041F"/>
    <w:rsid w:val="6A8025E2"/>
    <w:rsid w:val="6AAEA853"/>
    <w:rsid w:val="6AAEA853"/>
    <w:rsid w:val="6AD2983B"/>
    <w:rsid w:val="6B73AB29"/>
    <w:rsid w:val="6BAF74DB"/>
    <w:rsid w:val="6BE3FABA"/>
    <w:rsid w:val="6BE7B9B2"/>
    <w:rsid w:val="6C9B2261"/>
    <w:rsid w:val="6C9B2261"/>
    <w:rsid w:val="6DD29526"/>
    <w:rsid w:val="6DDDECE9"/>
    <w:rsid w:val="6E7F8454"/>
    <w:rsid w:val="6EF12864"/>
    <w:rsid w:val="7086EAB4"/>
    <w:rsid w:val="70889B70"/>
    <w:rsid w:val="70F5FB41"/>
    <w:rsid w:val="716C145A"/>
    <w:rsid w:val="723EA129"/>
    <w:rsid w:val="729F5660"/>
    <w:rsid w:val="72FCAF57"/>
    <w:rsid w:val="75376CBB"/>
    <w:rsid w:val="7634B597"/>
    <w:rsid w:val="76C6B68C"/>
    <w:rsid w:val="76C6B68C"/>
    <w:rsid w:val="76E639B6"/>
    <w:rsid w:val="77AC3FCA"/>
    <w:rsid w:val="782AD8DE"/>
    <w:rsid w:val="784B2440"/>
    <w:rsid w:val="79442DC5"/>
    <w:rsid w:val="79D27FA1"/>
    <w:rsid w:val="79FF079A"/>
    <w:rsid w:val="7A6207CE"/>
    <w:rsid w:val="7AFABD1A"/>
    <w:rsid w:val="7BEC9DC9"/>
    <w:rsid w:val="7C57216D"/>
    <w:rsid w:val="7CAF390F"/>
    <w:rsid w:val="7DC70C1E"/>
    <w:rsid w:val="7E003C53"/>
    <w:rsid w:val="7ED7E643"/>
    <w:rsid w:val="7EEF7383"/>
    <w:rsid w:val="7F4FF8A2"/>
    <w:rsid w:val="7F7F22A4"/>
    <w:rsid w:val="7FB38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wp14="http://schemas.microsoft.com/office/word/2010/wordprocessingDrawing"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pt" w:type="dxa"/>
      <w:tblCellMar>
        <w:top w:w="0pt" w:type="dxa"/>
        <w:start w:w="5.40pt" w:type="dxa"/>
        <w:bottom w:w="0pt" w:type="dxa"/>
        <w:end w:w="5.40pt" w:type="dxa"/>
      </w:tblCellMar>
    </w:tblPr>
  </w:style>
  <w:style w:type="numbering" w:styleId="NoList" w:default="1">
    <w:name w:val="No List"/>
    <w:uiPriority w:val="99"/>
    <w:semiHidden/>
    <w:unhideWhenUsed/>
  </w:style>
  <w:style w:type="paragraph" w:styleId="Abstract" w:customStyle="1">
    <w:name w:val="Abstract"/>
    <w:rsid w:val="00972203"/>
    <w:pPr>
      <w:spacing w:after="10pt"/>
      <w:ind w:firstLine="13.60pt"/>
      <w:jc w:val="both"/>
    </w:pPr>
    <w:rPr>
      <w:b/>
      <w:bCs/>
      <w:sz w:val="18"/>
      <w:szCs w:val="18"/>
    </w:rPr>
  </w:style>
  <w:style w:type="paragraph" w:styleId="Affiliation" w:customStyle="1">
    <w:name w:val="Affiliation"/>
    <w:pPr>
      <w:jc w:val="center"/>
    </w:pPr>
  </w:style>
  <w:style w:type="paragraph" w:styleId="Author" w:customStyle="1">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32.40pt"/>
      </w:tabs>
      <w:ind w:start="28.80pt" w:hanging="14.40pt"/>
    </w:pPr>
  </w:style>
  <w:style w:type="paragraph" w:styleId="equation" w:customStyle="1">
    <w:name w:val="equation"/>
    <w:basedOn w:val="Normal"/>
    <w:rsid w:val="008A2C7D"/>
    <w:pPr>
      <w:tabs>
        <w:tab w:val="center" w:pos="126pt"/>
        <w:tab w:val="end" w:pos="252pt"/>
      </w:tabs>
      <w:spacing w:before="12pt" w:after="12pt" w:line="10.80pt" w:lineRule="auto"/>
    </w:pPr>
    <w:rPr>
      <w:rFonts w:ascii="Symbol" w:hAnsi="Symbol" w:cs="Symbol"/>
    </w:rPr>
  </w:style>
  <w:style w:type="paragraph" w:styleId="figurecaption" w:customStyle="1">
    <w:name w:val="figure caption"/>
    <w:rsid w:val="005B0344"/>
    <w:pPr>
      <w:numPr>
        <w:numId w:val="2"/>
      </w:numPr>
      <w:tabs>
        <w:tab w:val="start" w:pos="26.65pt"/>
      </w:tabs>
      <w:spacing w:before="4pt" w:after="10pt"/>
      <w:ind w:start="0pt" w:firstLine="0pt"/>
      <w:jc w:val="both"/>
    </w:pPr>
    <w:rPr>
      <w:noProof/>
      <w:sz w:val="16"/>
      <w:szCs w:val="16"/>
    </w:rPr>
  </w:style>
  <w:style w:type="paragraph" w:styleId="footnote" w:customStyle="1">
    <w:name w:val="footnote"/>
    <w:pPr>
      <w:framePr w:vSpace="9.35pt" w:hSpace="9.35pt" w:wrap="notBeside" w:hAnchor="page" w:vAnchor="text" w:x="306.05pt" w:y="28.85pt"/>
      <w:numPr>
        <w:numId w:val="3"/>
      </w:numPr>
      <w:spacing w:after="2pt"/>
    </w:pPr>
    <w:rPr>
      <w:sz w:val="16"/>
      <w:szCs w:val="16"/>
    </w:rPr>
  </w:style>
  <w:style w:type="paragraph" w:styleId="papersubtitle" w:customStyle="1">
    <w:name w:val="paper subtitle"/>
    <w:pPr>
      <w:spacing w:after="6pt"/>
      <w:jc w:val="center"/>
    </w:pPr>
    <w:rPr>
      <w:rFonts w:eastAsia="MS Mincho"/>
      <w:noProof/>
      <w:sz w:val="28"/>
      <w:szCs w:val="28"/>
    </w:rPr>
  </w:style>
  <w:style w:type="paragraph" w:styleId="papertitle" w:customStyle="1">
    <w:name w:val="paper title"/>
    <w:pPr>
      <w:spacing w:after="6pt"/>
      <w:jc w:val="center"/>
    </w:pPr>
    <w:rPr>
      <w:rFonts w:eastAsia="MS Mincho"/>
      <w:noProof/>
      <w:sz w:val="48"/>
      <w:szCs w:val="48"/>
    </w:rPr>
  </w:style>
  <w:style w:type="paragraph" w:styleId="references" w:customStyle="1">
    <w:name w:val="references"/>
    <w:pPr>
      <w:numPr>
        <w:numId w:val="8"/>
      </w:numPr>
      <w:spacing w:after="2.50pt" w:line="9pt" w:lineRule="exact"/>
      <w:jc w:val="both"/>
    </w:pPr>
    <w:rPr>
      <w:rFonts w:eastAsia="MS Mincho"/>
      <w:noProof/>
      <w:sz w:val="16"/>
      <w:szCs w:val="16"/>
    </w:rPr>
  </w:style>
  <w:style w:type="paragraph" w:styleId="sponsors" w:customStyle="1">
    <w:name w:val="sponsors"/>
    <w:pPr>
      <w:framePr w:wrap="auto" w:hAnchor="text" w:x="30.75pt" w:y="111.95pt"/>
      <w:pBdr>
        <w:top w:val="single" w:color="auto" w:sz="4" w:space="2"/>
      </w:pBdr>
      <w:ind w:firstLine="14.40pt"/>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4"/>
      </w:numPr>
      <w:spacing w:before="3pt" w:after="1.50pt"/>
      <w:ind w:start="2.90pt" w:hanging="1.45pt"/>
      <w:jc w:val="end"/>
    </w:pPr>
    <w:rPr>
      <w:sz w:val="12"/>
      <w:szCs w:val="12"/>
    </w:rPr>
  </w:style>
  <w:style w:type="paragraph" w:styleId="tablehead" w:customStyle="1">
    <w:name w:val="table head"/>
    <w:pPr>
      <w:numPr>
        <w:numId w:val="9"/>
      </w:numPr>
      <w:spacing w:before="12pt" w:after="6pt" w:line="10.80pt" w:lineRule="auto"/>
      <w:jc w:val="center"/>
    </w:pPr>
    <w:rPr>
      <w:smallCaps/>
      <w:noProof/>
      <w:sz w:val="16"/>
      <w:szCs w:val="16"/>
    </w:rPr>
  </w:style>
  <w:style w:type="paragraph" w:styleId="Keywords" w:customStyle="1">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styleId="FooterChar" w:customStyle="1">
    <w:name w:val="Footer Char"/>
    <w:basedOn w:val="DefaultParagraphFont"/>
    <w:link w:val="Footer"/>
    <w:rsid w:val="001A3B3D"/>
  </w:style>
  <w:style xmlns:w="http://purl.oclc.org/ooxml/wordprocessingml/main" w:type="table" w:styleId="TableGrid">
    <w:name xmlns:w="http://purl.oclc.org/ooxml/wordprocessingml/main" w:val="Table Grid"/>
    <w:basedOn xmlns:w="http://purl.oclc.org/ooxml/wordprocessingml/main" w:val="TableNormal"/>
    <w:uiPriority xmlns:w="http://purl.oclc.org/ooxml/wordprocessingml/main" w:val="59"/>
    <w:rsid xmlns:w="http://purl.oclc.org/ooxml/wordprocessingml/main" w:val="00FB4123"/>
    <w:pPr xmlns:w="http://purl.oclc.org/ooxml/wordprocessingml/main">
      <w:spacing w:after="0" w:line="240" w:lineRule="auto"/>
    </w:pPr>
    <w:tblPr xmlns:w="http://purl.oclc.org/ooxml/wordprocessingml/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ListParagraph">
    <w:uiPriority w:val="34"/>
    <w:name w:val="List Paragraph"/>
    <w:basedOn w:val="Normal"/>
    <w:qFormat/>
    <w:rsid w:val="3AD5214A"/>
    <w:pPr>
      <w:spacing/>
      <w:ind w:start="36pt"/>
      <w:contextualSpacing/>
    </w:pPr>
  </w:style>
  <w:style w:type="character" w:styleId="Hyperlink">
    <w:uiPriority w:val="99"/>
    <w:name w:val="Hyperlink"/>
    <w:basedOn w:val="DefaultParagraphFont"/>
    <w:unhideWhenUsed/>
    <w:rsid w:val="3AD5214A"/>
    <w:rPr>
      <w:color w:val="0563C1"/>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purl.oclc.org/ooxml/officeDocument/relationships/styles" Target="styles.xml" Id="rId3" /><Relationship Type="http://purl.oclc.org/ooxml/officeDocument/relationships/endnotes" Target="endnotes.xml" Id="rId7" /><Relationship Type="http://purl.oclc.org/ooxml/officeDocument/relationships/theme" Target="theme/theme1.xml" Id="rId12" /><Relationship Type="http://purl.oclc.org/ooxml/officeDocument/relationships/numbering" Target="numbering.xml" Id="rId2" /><Relationship Type="http://purl.oclc.org/ooxml/officeDocument/relationships/customXml" Target="../customXml/item1.xml" Id="rId1" /><Relationship Type="http://purl.oclc.org/ooxml/officeDocument/relationships/footnotes" Target="footnotes.xml" Id="rId6" /><Relationship Type="http://purl.oclc.org/ooxml/officeDocument/relationships/fontTable" Target="fontTable.xml" Id="rId11" /><Relationship Type="http://purl.oclc.org/ooxml/officeDocument/relationships/webSettings" Target="webSettings.xml" Id="rId5" /><Relationship Type="http://purl.oclc.org/ooxml/officeDocument/relationships/settings" Target="settings.xml" Id="rId4" /><Relationship Type="http://schemas.openxmlformats.org/officeDocument/2006/relationships/header" Target="header.xml" Id="R788939ab952a42a7" /><Relationship Type="http://schemas.openxmlformats.org/officeDocument/2006/relationships/header" Target="header2.xml" Id="R8dcf328e854140bd" /><Relationship Type="http://schemas.openxmlformats.org/officeDocument/2006/relationships/header" Target="header3.xml" Id="R3250cefc32d64f42" /><Relationship Type="http://schemas.openxmlformats.org/officeDocument/2006/relationships/header" Target="header4.xml" Id="R29e1545c11bf4df6" /><Relationship Type="http://schemas.openxmlformats.org/officeDocument/2006/relationships/header" Target="header5.xml" Id="R4a8c066d873042c3" /><Relationship Type="http://schemas.openxmlformats.org/officeDocument/2006/relationships/image" Target="/media/image.png" Id="rId1585199741" /><Relationship Type="http://schemas.openxmlformats.org/officeDocument/2006/relationships/image" Target="/media/image2.png" Id="rId1110100806" /><Relationship Type="http://schemas.openxmlformats.org/officeDocument/2006/relationships/image" Target="/media/image3.png" Id="rId1711710611" /><Relationship Type="http://schemas.openxmlformats.org/officeDocument/2006/relationships/image" Target="/media/image4.png" Id="rId1740517365" /><Relationship Type="http://schemas.openxmlformats.org/officeDocument/2006/relationships/image" Target="/media/image5.png" Id="rId1111782925" /><Relationship Type="http://schemas.openxmlformats.org/officeDocument/2006/relationships/image" Target="/media/image6.png" Id="rId1098012641" /><Relationship Type="http://schemas.openxmlformats.org/officeDocument/2006/relationships/image" Target="/media/image7.png" Id="rId1690982246" /><Relationship Type="http://schemas.openxmlformats.org/officeDocument/2006/relationships/image" Target="/media/image8.png" Id="rId2023912971" /><Relationship Type="http://schemas.openxmlformats.org/officeDocument/2006/relationships/image" Target="/media/image9.png" Id="rId1462777572" /><Relationship Type="http://schemas.openxmlformats.org/officeDocument/2006/relationships/image" Target="/media/imagea.png" Id="rId370093506" /><Relationship Type="http://schemas.openxmlformats.org/officeDocument/2006/relationships/hyperlink" Target="https://my-app-app-c4btndxjogwlseblgfzu9d.streamlit.app" TargetMode="External" Id="R7b74bf1968d34d98" /><Relationship Type="http://schemas.openxmlformats.org/officeDocument/2006/relationships/image" Target="/media/imageb.png" Id="rId1042319539" /><Relationship Type="http://schemas.openxmlformats.org/officeDocument/2006/relationships/image" Target="/media/imagec.png" Id="rId836005127" /><Relationship Type="http://schemas.openxmlformats.org/officeDocument/2006/relationships/image" Target="/media/imaged.png" Id="rId322974559" /><Relationship Type="http://schemas.openxmlformats.org/officeDocument/2006/relationships/image" Target="/media/imagee.png" Id="rId1319900257" /><Relationship Type="http://schemas.openxmlformats.org/officeDocument/2006/relationships/image" Target="/media/imagef.png" Id="rId824516963" /><Relationship Type="http://schemas.microsoft.com/office/2020/10/relationships/intelligence" Target="intelligence2.xml" Id="R51abbb7d259e408b"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ap:Properties xmlns="http://purl.oclc.org/ooxml/officeDocument/extendedProperties" xmlns:vt="http://purl.oclc.org/ooxml/officeDocument/docPropsVTypes" xmlns:ap="http://purl.oclc.org/ooxml/officeDocument/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Abhi Thaker</lastModifiedBy>
  <revision>4</revision>
  <dcterms:created xsi:type="dcterms:W3CDTF">2024-07-16T13:42:00.0000000Z</dcterms:created>
  <dcterms:modified xsi:type="dcterms:W3CDTF">2025-04-14T02:03:04.4958524Z</dcterms:modified>
</coreProperties>
</file>