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778" w:rsidRDefault="00506E55">
      <w:pPr>
        <w:widowControl w:val="0"/>
        <w:pBdr>
          <w:top w:val="nil"/>
          <w:left w:val="nil"/>
          <w:bottom w:val="nil"/>
          <w:right w:val="nil"/>
          <w:between w:val="nil"/>
        </w:pBdr>
        <w:spacing w:line="240" w:lineRule="auto"/>
        <w:rPr>
          <w:rFonts w:ascii="Calibri" w:eastAsia="Calibri" w:hAnsi="Calibri" w:cs="Calibri"/>
          <w:color w:val="000000"/>
          <w:sz w:val="21"/>
          <w:szCs w:val="21"/>
        </w:rPr>
      </w:pPr>
      <w:r>
        <w:rPr>
          <w:rFonts w:ascii="Calibri" w:eastAsia="Calibri" w:hAnsi="Calibri" w:cs="Calibri"/>
          <w:b/>
          <w:bCs/>
          <w:color w:val="000000"/>
          <w:sz w:val="21"/>
          <w:szCs w:val="21"/>
        </w:rPr>
        <w:t xml:space="preserve">Project Title: </w:t>
      </w:r>
      <w:r w:rsidR="00150942">
        <w:rPr>
          <w:rFonts w:ascii="Calibri" w:eastAsia="Calibri" w:hAnsi="Calibri" w:cs="Calibri"/>
          <w:b/>
          <w:bCs/>
          <w:color w:val="000000"/>
          <w:sz w:val="21"/>
          <w:szCs w:val="21"/>
        </w:rPr>
        <w:t xml:space="preserve">                                                                                </w:t>
      </w:r>
      <w:r>
        <w:rPr>
          <w:rFonts w:ascii="Calibri" w:eastAsia="Calibri" w:hAnsi="Calibri" w:cs="Calibri"/>
          <w:b/>
          <w:bCs/>
          <w:color w:val="000000"/>
          <w:sz w:val="21"/>
          <w:szCs w:val="21"/>
        </w:rPr>
        <w:t xml:space="preserve">Project Design Phase-I </w:t>
      </w:r>
      <w:r>
        <w:rPr>
          <w:rFonts w:ascii="Times New Roman" w:eastAsia="Times New Roman" w:hAnsi="Times New Roman" w:cs="Times New Roman"/>
          <w:color w:val="000000"/>
          <w:sz w:val="21"/>
          <w:szCs w:val="21"/>
        </w:rPr>
        <w:t xml:space="preserve">- </w:t>
      </w:r>
      <w:r w:rsidR="00150942">
        <w:rPr>
          <w:rFonts w:ascii="Calibri" w:eastAsia="Calibri" w:hAnsi="Calibri" w:cs="Calibri"/>
          <w:b/>
          <w:bCs/>
          <w:color w:val="000000"/>
          <w:sz w:val="21"/>
          <w:szCs w:val="21"/>
        </w:rPr>
        <w:t xml:space="preserve">Soluton Fit                                                                                                         </w:t>
      </w:r>
      <w:r>
        <w:rPr>
          <w:rFonts w:ascii="Calibri" w:eastAsia="Calibri" w:hAnsi="Calibri" w:cs="Calibri"/>
          <w:b/>
          <w:bCs/>
          <w:color w:val="000000"/>
          <w:sz w:val="21"/>
          <w:szCs w:val="21"/>
        </w:rPr>
        <w:t xml:space="preserve"> Team ID</w:t>
      </w:r>
      <w:r w:rsidR="00150942">
        <w:rPr>
          <w:rFonts w:ascii="Calibri" w:eastAsia="Calibri" w:hAnsi="Calibri" w:cs="Calibri"/>
          <w:b/>
          <w:bCs/>
          <w:color w:val="000000"/>
          <w:sz w:val="21"/>
          <w:szCs w:val="21"/>
        </w:rPr>
        <w:t xml:space="preserve">: </w:t>
      </w:r>
    </w:p>
    <w:p w:rsidR="00590778" w:rsidRDefault="00590778">
      <w:pPr>
        <w:widowControl w:val="0"/>
        <w:pBdr>
          <w:top w:val="nil"/>
          <w:left w:val="nil"/>
          <w:bottom w:val="nil"/>
          <w:right w:val="nil"/>
          <w:between w:val="nil"/>
        </w:pBdr>
        <w:rPr>
          <w:color w:val="000000"/>
        </w:rPr>
      </w:pPr>
    </w:p>
    <w:p w:rsidR="00150942" w:rsidRPr="00150942" w:rsidRDefault="00150942">
      <w:pPr>
        <w:widowControl w:val="0"/>
        <w:pBdr>
          <w:top w:val="nil"/>
          <w:left w:val="nil"/>
          <w:bottom w:val="nil"/>
          <w:right w:val="nil"/>
          <w:between w:val="nil"/>
        </w:pBdr>
        <w:rPr>
          <w:b/>
          <w:color w:val="000000"/>
        </w:rPr>
      </w:pPr>
      <w:r>
        <w:rPr>
          <w:b/>
          <w:color w:val="000000"/>
        </w:rPr>
        <w:t xml:space="preserve">Proposed solution: </w:t>
      </w:r>
    </w:p>
    <w:tbl>
      <w:tblPr>
        <w:tblStyle w:val="TableGrid"/>
        <w:tblW w:w="0" w:type="auto"/>
        <w:tblLook w:val="04A0" w:firstRow="1" w:lastRow="0" w:firstColumn="1" w:lastColumn="0" w:noHBand="0" w:noVBand="1"/>
      </w:tblPr>
      <w:tblGrid>
        <w:gridCol w:w="1345"/>
        <w:gridCol w:w="4770"/>
        <w:gridCol w:w="10080"/>
      </w:tblGrid>
      <w:tr w:rsidR="00150942" w:rsidTr="00150942">
        <w:tc>
          <w:tcPr>
            <w:tcW w:w="1345" w:type="dxa"/>
          </w:tcPr>
          <w:p w:rsidR="00150942" w:rsidRDefault="00150942">
            <w:pPr>
              <w:widowControl w:val="0"/>
              <w:rPr>
                <w:b/>
                <w:color w:val="000000"/>
              </w:rPr>
            </w:pPr>
            <w:r>
              <w:rPr>
                <w:b/>
                <w:color w:val="000000"/>
              </w:rPr>
              <w:t>S. No.</w:t>
            </w:r>
          </w:p>
        </w:tc>
        <w:tc>
          <w:tcPr>
            <w:tcW w:w="4770" w:type="dxa"/>
          </w:tcPr>
          <w:p w:rsidR="00150942" w:rsidRDefault="00150942">
            <w:pPr>
              <w:widowControl w:val="0"/>
              <w:rPr>
                <w:b/>
                <w:color w:val="000000"/>
              </w:rPr>
            </w:pPr>
            <w:r>
              <w:rPr>
                <w:b/>
                <w:color w:val="000000"/>
              </w:rPr>
              <w:t>Parameter</w:t>
            </w:r>
          </w:p>
        </w:tc>
        <w:tc>
          <w:tcPr>
            <w:tcW w:w="10080" w:type="dxa"/>
          </w:tcPr>
          <w:p w:rsidR="00150942" w:rsidRDefault="00150942">
            <w:pPr>
              <w:widowControl w:val="0"/>
              <w:rPr>
                <w:b/>
                <w:color w:val="000000"/>
              </w:rPr>
            </w:pPr>
            <w:r>
              <w:rPr>
                <w:b/>
                <w:color w:val="000000"/>
              </w:rPr>
              <w:t>Description</w:t>
            </w:r>
          </w:p>
        </w:tc>
      </w:tr>
      <w:tr w:rsidR="00150942" w:rsidTr="00150942">
        <w:trPr>
          <w:trHeight w:val="784"/>
        </w:trPr>
        <w:tc>
          <w:tcPr>
            <w:tcW w:w="1345" w:type="dxa"/>
          </w:tcPr>
          <w:p w:rsidR="00150942" w:rsidRDefault="00150942">
            <w:pPr>
              <w:widowControl w:val="0"/>
              <w:rPr>
                <w:b/>
                <w:color w:val="000000"/>
              </w:rPr>
            </w:pPr>
            <w:r>
              <w:rPr>
                <w:b/>
                <w:color w:val="000000"/>
              </w:rPr>
              <w:t>1.</w:t>
            </w:r>
          </w:p>
        </w:tc>
        <w:tc>
          <w:tcPr>
            <w:tcW w:w="4770" w:type="dxa"/>
          </w:tcPr>
          <w:p w:rsidR="00150942" w:rsidRDefault="00150942">
            <w:pPr>
              <w:widowControl w:val="0"/>
              <w:rPr>
                <w:b/>
                <w:color w:val="000000"/>
              </w:rPr>
            </w:pPr>
            <w:r>
              <w:t>Customer Segments</w:t>
            </w:r>
          </w:p>
        </w:tc>
        <w:tc>
          <w:tcPr>
            <w:tcW w:w="10080" w:type="dxa"/>
          </w:tcPr>
          <w:p w:rsidR="00150942" w:rsidRDefault="00150942">
            <w:pPr>
              <w:widowControl w:val="0"/>
              <w:rPr>
                <w:b/>
                <w:color w:val="000000"/>
              </w:rPr>
            </w:pPr>
            <w:r>
              <w:t>Cardiologists and healthcare professionals; Government health analysts and policymakers; Hospitals and healthcare institutions; Individuals at risk of heart disease; Public health researchers</w:t>
            </w:r>
          </w:p>
        </w:tc>
      </w:tr>
      <w:tr w:rsidR="00150942" w:rsidTr="00150942">
        <w:trPr>
          <w:trHeight w:val="973"/>
        </w:trPr>
        <w:tc>
          <w:tcPr>
            <w:tcW w:w="1345" w:type="dxa"/>
          </w:tcPr>
          <w:p w:rsidR="00150942" w:rsidRDefault="00150942">
            <w:pPr>
              <w:widowControl w:val="0"/>
              <w:rPr>
                <w:b/>
                <w:color w:val="000000"/>
              </w:rPr>
            </w:pPr>
            <w:r>
              <w:rPr>
                <w:b/>
                <w:color w:val="000000"/>
              </w:rPr>
              <w:t>2.</w:t>
            </w:r>
          </w:p>
        </w:tc>
        <w:tc>
          <w:tcPr>
            <w:tcW w:w="4770" w:type="dxa"/>
          </w:tcPr>
          <w:p w:rsidR="00150942" w:rsidRDefault="00150942">
            <w:pPr>
              <w:widowControl w:val="0"/>
              <w:rPr>
                <w:b/>
                <w:color w:val="000000"/>
              </w:rPr>
            </w:pPr>
            <w:r>
              <w:t>Jobs-To-Be-Done / Problems</w:t>
            </w:r>
          </w:p>
        </w:tc>
        <w:tc>
          <w:tcPr>
            <w:tcW w:w="10080" w:type="dxa"/>
          </w:tcPr>
          <w:p w:rsidR="00150942" w:rsidRDefault="00150942">
            <w:pPr>
              <w:widowControl w:val="0"/>
              <w:rPr>
                <w:b/>
                <w:color w:val="000000"/>
              </w:rPr>
            </w:pPr>
            <w:r>
              <w:t>Analyze heart disease datasets to identify risk factors; Understand trends related to age, cholesterol, and lifestyle habits; Detect high-risk patient groups early; Simplify complex medical data into visual insights; Support healthcare decision-making</w:t>
            </w:r>
          </w:p>
        </w:tc>
      </w:tr>
      <w:tr w:rsidR="00150942" w:rsidTr="00150942">
        <w:tc>
          <w:tcPr>
            <w:tcW w:w="1345" w:type="dxa"/>
          </w:tcPr>
          <w:p w:rsidR="00150942" w:rsidRDefault="00150942">
            <w:pPr>
              <w:widowControl w:val="0"/>
              <w:rPr>
                <w:b/>
                <w:color w:val="000000"/>
              </w:rPr>
            </w:pPr>
            <w:r>
              <w:rPr>
                <w:b/>
                <w:color w:val="000000"/>
              </w:rPr>
              <w:t>3.</w:t>
            </w:r>
          </w:p>
        </w:tc>
        <w:tc>
          <w:tcPr>
            <w:tcW w:w="4770" w:type="dxa"/>
          </w:tcPr>
          <w:p w:rsidR="00150942" w:rsidRDefault="00150942">
            <w:pPr>
              <w:widowControl w:val="0"/>
              <w:rPr>
                <w:b/>
                <w:color w:val="000000"/>
              </w:rPr>
            </w:pPr>
            <w:r>
              <w:t>Triggers</w:t>
            </w:r>
          </w:p>
        </w:tc>
        <w:tc>
          <w:tcPr>
            <w:tcW w:w="10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4"/>
            </w:tblGrid>
            <w:tr w:rsidR="00150942" w:rsidRPr="00150942" w:rsidTr="00150942">
              <w:trPr>
                <w:tblCellSpacing w:w="15" w:type="dxa"/>
              </w:trPr>
              <w:tc>
                <w:tcPr>
                  <w:tcW w:w="0" w:type="auto"/>
                  <w:vAlign w:val="center"/>
                  <w:hideMark/>
                </w:tcPr>
                <w:p w:rsidR="00150942" w:rsidRPr="00150942" w:rsidRDefault="00150942" w:rsidP="00150942">
                  <w:pPr>
                    <w:spacing w:line="240" w:lineRule="auto"/>
                    <w:rPr>
                      <w:rFonts w:eastAsia="Times New Roman"/>
                    </w:rPr>
                  </w:pPr>
                  <w:r>
                    <w:rPr>
                      <w:rFonts w:eastAsia="Times New Roman"/>
                    </w:rPr>
                    <w:t xml:space="preserve">Increasing heart diseases globally; Need forearly detection and prevention,; Availability of healthcare datasets </w:t>
                  </w:r>
                </w:p>
              </w:tc>
            </w:tr>
          </w:tbl>
          <w:p w:rsidR="00150942" w:rsidRPr="00150942" w:rsidRDefault="00150942" w:rsidP="00150942">
            <w:pPr>
              <w:rPr>
                <w:rFonts w:eastAsia="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0942" w:rsidRPr="00150942" w:rsidTr="00150942">
              <w:trPr>
                <w:tblCellSpacing w:w="15" w:type="dxa"/>
              </w:trPr>
              <w:tc>
                <w:tcPr>
                  <w:tcW w:w="0" w:type="auto"/>
                  <w:vAlign w:val="center"/>
                  <w:hideMark/>
                </w:tcPr>
                <w:p w:rsidR="00150942" w:rsidRPr="00150942" w:rsidRDefault="00150942" w:rsidP="00150942">
                  <w:pPr>
                    <w:spacing w:line="240" w:lineRule="auto"/>
                    <w:rPr>
                      <w:rFonts w:eastAsia="Times New Roman"/>
                    </w:rPr>
                  </w:pPr>
                </w:p>
              </w:tc>
            </w:tr>
          </w:tbl>
          <w:p w:rsidR="00150942" w:rsidRDefault="00150942">
            <w:pPr>
              <w:widowControl w:val="0"/>
              <w:rPr>
                <w:b/>
                <w:color w:val="000000"/>
              </w:rPr>
            </w:pPr>
          </w:p>
        </w:tc>
      </w:tr>
      <w:tr w:rsidR="00150942" w:rsidTr="00506E55">
        <w:trPr>
          <w:trHeight w:val="640"/>
        </w:trPr>
        <w:tc>
          <w:tcPr>
            <w:tcW w:w="1345" w:type="dxa"/>
          </w:tcPr>
          <w:p w:rsidR="00150942" w:rsidRDefault="00150942">
            <w:pPr>
              <w:widowControl w:val="0"/>
              <w:rPr>
                <w:b/>
                <w:color w:val="000000"/>
              </w:rPr>
            </w:pPr>
            <w:r>
              <w:rPr>
                <w:b/>
                <w:color w:val="000000"/>
              </w:rPr>
              <w:t>4.</w:t>
            </w:r>
          </w:p>
        </w:tc>
        <w:tc>
          <w:tcPr>
            <w:tcW w:w="4770" w:type="dxa"/>
          </w:tcPr>
          <w:p w:rsidR="00150942" w:rsidRDefault="00150942">
            <w:pPr>
              <w:widowControl w:val="0"/>
              <w:rPr>
                <w:b/>
                <w:color w:val="000000"/>
              </w:rPr>
            </w:pPr>
            <w:r>
              <w:t>Emotions (Before / After)</w:t>
            </w:r>
          </w:p>
        </w:tc>
        <w:tc>
          <w:tcPr>
            <w:tcW w:w="10080" w:type="dxa"/>
          </w:tcPr>
          <w:p w:rsidR="00150942" w:rsidRDefault="00150942">
            <w:pPr>
              <w:widowControl w:val="0"/>
            </w:pPr>
            <w:r>
              <w:t xml:space="preserve">Before: Confusion in interpreting complex health data, difficulty identifying patterns. </w:t>
            </w:r>
          </w:p>
          <w:p w:rsidR="00150942" w:rsidRDefault="00150942">
            <w:pPr>
              <w:widowControl w:val="0"/>
              <w:rPr>
                <w:b/>
                <w:color w:val="000000"/>
              </w:rPr>
            </w:pPr>
            <w:r>
              <w:t>After: Confidence in analyzing insights, better understanding of heart disease risks</w:t>
            </w:r>
          </w:p>
        </w:tc>
      </w:tr>
      <w:tr w:rsidR="00150942" w:rsidTr="00506E55">
        <w:trPr>
          <w:trHeight w:val="442"/>
        </w:trPr>
        <w:tc>
          <w:tcPr>
            <w:tcW w:w="1345" w:type="dxa"/>
          </w:tcPr>
          <w:p w:rsidR="00150942" w:rsidRPr="00150942" w:rsidRDefault="00150942">
            <w:pPr>
              <w:widowControl w:val="0"/>
              <w:rPr>
                <w:color w:val="000000"/>
              </w:rPr>
            </w:pPr>
            <w:r>
              <w:rPr>
                <w:b/>
                <w:color w:val="000000"/>
              </w:rPr>
              <w:t>5.</w:t>
            </w:r>
          </w:p>
        </w:tc>
        <w:tc>
          <w:tcPr>
            <w:tcW w:w="4770" w:type="dxa"/>
          </w:tcPr>
          <w:p w:rsidR="00150942" w:rsidRDefault="00150942">
            <w:pPr>
              <w:widowControl w:val="0"/>
              <w:rPr>
                <w:b/>
                <w:color w:val="000000"/>
              </w:rPr>
            </w:pPr>
            <w:r>
              <w:t>Available Solutions</w:t>
            </w:r>
          </w:p>
        </w:tc>
        <w:tc>
          <w:tcPr>
            <w:tcW w:w="10080" w:type="dxa"/>
          </w:tcPr>
          <w:p w:rsidR="00150942" w:rsidRDefault="00506E55">
            <w:pPr>
              <w:widowControl w:val="0"/>
              <w:rPr>
                <w:b/>
                <w:color w:val="000000"/>
              </w:rPr>
            </w:pPr>
            <w:r>
              <w:t>Spreadsheet analysis; Basic statistical tools; Traditional hospital records; Static research reports</w:t>
            </w:r>
          </w:p>
        </w:tc>
      </w:tr>
      <w:tr w:rsidR="00506E55" w:rsidTr="00506E55">
        <w:trPr>
          <w:trHeight w:val="712"/>
        </w:trPr>
        <w:tc>
          <w:tcPr>
            <w:tcW w:w="1345" w:type="dxa"/>
          </w:tcPr>
          <w:p w:rsidR="00506E55" w:rsidRPr="00506E55" w:rsidRDefault="00506E55">
            <w:pPr>
              <w:widowControl w:val="0"/>
              <w:rPr>
                <w:b/>
                <w:color w:val="000000"/>
              </w:rPr>
            </w:pPr>
            <w:r>
              <w:rPr>
                <w:b/>
                <w:color w:val="000000"/>
              </w:rPr>
              <w:t>6.</w:t>
            </w:r>
          </w:p>
        </w:tc>
        <w:tc>
          <w:tcPr>
            <w:tcW w:w="4770" w:type="dxa"/>
          </w:tcPr>
          <w:p w:rsidR="00506E55" w:rsidRDefault="00506E55">
            <w:pPr>
              <w:widowControl w:val="0"/>
            </w:pPr>
            <w:r>
              <w:t>Customer Constraints</w:t>
            </w:r>
          </w:p>
        </w:tc>
        <w:tc>
          <w:tcPr>
            <w:tcW w:w="10080" w:type="dxa"/>
          </w:tcPr>
          <w:p w:rsidR="00506E55" w:rsidRDefault="00506E55">
            <w:pPr>
              <w:widowControl w:val="0"/>
            </w:pPr>
            <w:r>
              <w:t>Limited technical knowledge of analytics tools; Difficulty interpreting large datasets; Limited time for manual analysis; Lack of effective visualization tools</w:t>
            </w:r>
          </w:p>
        </w:tc>
      </w:tr>
      <w:tr w:rsidR="00506E55" w:rsidTr="00506E55">
        <w:trPr>
          <w:trHeight w:val="712"/>
        </w:trPr>
        <w:tc>
          <w:tcPr>
            <w:tcW w:w="1345" w:type="dxa"/>
          </w:tcPr>
          <w:p w:rsidR="00506E55" w:rsidRDefault="00506E55">
            <w:pPr>
              <w:widowControl w:val="0"/>
              <w:rPr>
                <w:b/>
                <w:color w:val="000000"/>
              </w:rPr>
            </w:pPr>
            <w:r>
              <w:rPr>
                <w:b/>
                <w:color w:val="000000"/>
              </w:rPr>
              <w:t>7.</w:t>
            </w:r>
          </w:p>
        </w:tc>
        <w:tc>
          <w:tcPr>
            <w:tcW w:w="4770" w:type="dxa"/>
          </w:tcPr>
          <w:p w:rsidR="00506E55" w:rsidRDefault="00506E55">
            <w:pPr>
              <w:widowControl w:val="0"/>
            </w:pPr>
            <w:r>
              <w:t>Behaviour</w:t>
            </w:r>
          </w:p>
        </w:tc>
        <w:tc>
          <w:tcPr>
            <w:tcW w:w="10080" w:type="dxa"/>
          </w:tcPr>
          <w:p w:rsidR="00506E55" w:rsidRDefault="00506E55">
            <w:pPr>
              <w:widowControl w:val="0"/>
            </w:pPr>
            <w:r>
              <w:t>Doctors analyze patient reports; Health analysts study disease trends; Policymakers review healthcare statistics; Researchers perform data analysis</w:t>
            </w:r>
          </w:p>
        </w:tc>
      </w:tr>
      <w:tr w:rsidR="00506E55" w:rsidTr="00506E55">
        <w:trPr>
          <w:trHeight w:val="712"/>
        </w:trPr>
        <w:tc>
          <w:tcPr>
            <w:tcW w:w="1345" w:type="dxa"/>
          </w:tcPr>
          <w:p w:rsidR="00506E55" w:rsidRDefault="00506E55">
            <w:pPr>
              <w:widowControl w:val="0"/>
              <w:rPr>
                <w:b/>
                <w:color w:val="000000"/>
              </w:rPr>
            </w:pPr>
            <w:r>
              <w:rPr>
                <w:b/>
                <w:color w:val="000000"/>
              </w:rPr>
              <w:t>8.</w:t>
            </w:r>
          </w:p>
        </w:tc>
        <w:tc>
          <w:tcPr>
            <w:tcW w:w="4770" w:type="dxa"/>
          </w:tcPr>
          <w:p w:rsidR="00506E55" w:rsidRDefault="00506E55">
            <w:pPr>
              <w:widowControl w:val="0"/>
            </w:pPr>
            <w:r>
              <w:t>Channels of Behaviour</w:t>
            </w:r>
          </w:p>
        </w:tc>
        <w:tc>
          <w:tcPr>
            <w:tcW w:w="10080" w:type="dxa"/>
          </w:tcPr>
          <w:p w:rsidR="00506E55" w:rsidRDefault="00506E55">
            <w:pPr>
              <w:widowControl w:val="0"/>
            </w:pPr>
            <w:r>
              <w:t>Online: Health dashboards, research databases, analytics platforms.</w:t>
            </w:r>
          </w:p>
          <w:p w:rsidR="00506E55" w:rsidRDefault="00506E55">
            <w:pPr>
              <w:widowControl w:val="0"/>
            </w:pPr>
            <w:r>
              <w:t xml:space="preserve"> Offline: Hospital reports, healthcare surveys, government records</w:t>
            </w:r>
          </w:p>
        </w:tc>
      </w:tr>
      <w:tr w:rsidR="00506E55" w:rsidTr="00506E55">
        <w:trPr>
          <w:trHeight w:val="712"/>
        </w:trPr>
        <w:tc>
          <w:tcPr>
            <w:tcW w:w="1345" w:type="dxa"/>
          </w:tcPr>
          <w:p w:rsidR="00506E55" w:rsidRDefault="00506E55">
            <w:pPr>
              <w:widowControl w:val="0"/>
              <w:rPr>
                <w:b/>
                <w:color w:val="000000"/>
              </w:rPr>
            </w:pPr>
            <w:r>
              <w:rPr>
                <w:b/>
                <w:color w:val="000000"/>
              </w:rPr>
              <w:t>9.</w:t>
            </w:r>
          </w:p>
        </w:tc>
        <w:tc>
          <w:tcPr>
            <w:tcW w:w="4770" w:type="dxa"/>
          </w:tcPr>
          <w:p w:rsidR="00506E55" w:rsidRDefault="00506E55">
            <w:pPr>
              <w:widowControl w:val="0"/>
            </w:pPr>
            <w:r>
              <w:t>Problem Root Cause</w:t>
            </w:r>
            <w:bookmarkStart w:id="0" w:name="_GoBack"/>
            <w:bookmarkEnd w:id="0"/>
          </w:p>
        </w:tc>
        <w:tc>
          <w:tcPr>
            <w:tcW w:w="10080" w:type="dxa"/>
          </w:tcPr>
          <w:p w:rsidR="00506E55" w:rsidRDefault="00506E55">
            <w:pPr>
              <w:widowControl w:val="0"/>
            </w:pPr>
            <w:r>
              <w:t>Large medical datasets are difficult to interpret manually; Lack of interactive visualization tools; Fragmented healthcare data sources</w:t>
            </w:r>
          </w:p>
        </w:tc>
      </w:tr>
      <w:tr w:rsidR="00506E55" w:rsidTr="00506E55">
        <w:trPr>
          <w:trHeight w:val="1063"/>
        </w:trPr>
        <w:tc>
          <w:tcPr>
            <w:tcW w:w="1345" w:type="dxa"/>
          </w:tcPr>
          <w:p w:rsidR="00506E55" w:rsidRDefault="00506E55">
            <w:pPr>
              <w:widowControl w:val="0"/>
              <w:rPr>
                <w:b/>
                <w:color w:val="000000"/>
              </w:rPr>
            </w:pPr>
            <w:r>
              <w:rPr>
                <w:b/>
                <w:color w:val="000000"/>
              </w:rPr>
              <w:t>10.</w:t>
            </w:r>
          </w:p>
        </w:tc>
        <w:tc>
          <w:tcPr>
            <w:tcW w:w="4770" w:type="dxa"/>
          </w:tcPr>
          <w:p w:rsidR="00506E55" w:rsidRDefault="00506E55">
            <w:pPr>
              <w:widowControl w:val="0"/>
            </w:pPr>
            <w:r>
              <w:t>Your Solution</w:t>
            </w:r>
          </w:p>
        </w:tc>
        <w:tc>
          <w:tcPr>
            <w:tcW w:w="10080" w:type="dxa"/>
          </w:tcPr>
          <w:p w:rsidR="00506E55" w:rsidRDefault="00506E55">
            <w:pPr>
              <w:widowControl w:val="0"/>
            </w:pPr>
            <w:r>
              <w:t>Develop an interactive dashboard using Tableau to analyze heart disease datasets and visualize trends, risk factors, and patient demographics. The system provides charts, graphs, and filters to help healthcare professionals identify high-risk groups and make better decisions.</w:t>
            </w:r>
          </w:p>
        </w:tc>
      </w:tr>
    </w:tbl>
    <w:p w:rsidR="00590778" w:rsidRPr="00150942" w:rsidRDefault="00590778">
      <w:pPr>
        <w:widowControl w:val="0"/>
        <w:pBdr>
          <w:top w:val="nil"/>
          <w:left w:val="nil"/>
          <w:bottom w:val="nil"/>
          <w:right w:val="nil"/>
          <w:between w:val="nil"/>
        </w:pBdr>
        <w:rPr>
          <w:b/>
          <w:color w:val="000000"/>
        </w:rPr>
      </w:pPr>
    </w:p>
    <w:sectPr w:rsidR="00590778" w:rsidRPr="00150942">
      <w:pgSz w:w="16840" w:h="11880" w:orient="landscape"/>
      <w:pgMar w:top="313" w:right="320" w:bottom="41" w:left="31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DD487D-908D-4D9D-83E8-0363C271246D}"/>
  </w:font>
  <w:font w:name="Calibri">
    <w:panose1 w:val="020F0502020204030204"/>
    <w:charset w:val="00"/>
    <w:family w:val="swiss"/>
    <w:pitch w:val="variable"/>
    <w:sig w:usb0="E4002EFF" w:usb1="C200247B" w:usb2="00000009" w:usb3="00000000" w:csb0="000001FF" w:csb1="00000000"/>
    <w:embedRegular r:id="rId2" w:fontKey="{903D3004-D264-4D5A-A24B-381D4A9FACB3}"/>
    <w:embedBold r:id="rId3" w:fontKey="{9AE015E4-91FB-458F-99B5-2C3CF2645D00}"/>
  </w:font>
  <w:font w:name="Cambria">
    <w:panose1 w:val="02040503050406030204"/>
    <w:charset w:val="00"/>
    <w:family w:val="roman"/>
    <w:pitch w:val="variable"/>
    <w:sig w:usb0="E00006FF" w:usb1="420024FF" w:usb2="02000000" w:usb3="00000000" w:csb0="0000019F" w:csb1="00000000"/>
    <w:embedRegular r:id="rId4" w:fontKey="{92EDA961-C5DD-45C7-B7A0-087C0C1F94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778"/>
    <w:rsid w:val="00150942"/>
    <w:rsid w:val="00506E55"/>
    <w:rsid w:val="00590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64081E-B7B0-4FC0-9FA4-700E45FA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5094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38194">
      <w:bodyDiv w:val="1"/>
      <w:marLeft w:val="0"/>
      <w:marRight w:val="0"/>
      <w:marTop w:val="0"/>
      <w:marBottom w:val="0"/>
      <w:divBdr>
        <w:top w:val="none" w:sz="0" w:space="0" w:color="auto"/>
        <w:left w:val="none" w:sz="0" w:space="0" w:color="auto"/>
        <w:bottom w:val="none" w:sz="0" w:space="0" w:color="auto"/>
        <w:right w:val="none" w:sz="0" w:space="0" w:color="auto"/>
      </w:divBdr>
    </w:div>
    <w:div w:id="801385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2026-03-05T11:28:00Z</dcterms:created>
  <dcterms:modified xsi:type="dcterms:W3CDTF">2026-03-05T11:40:00Z</dcterms:modified>
</cp:coreProperties>
</file>