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B4AA8" w14:textId="37CCF047" w:rsidR="00711E49" w:rsidRPr="00895CE4" w:rsidRDefault="00711E49" w:rsidP="00711E49">
      <w:pPr>
        <w:jc w:val="center"/>
        <w:rPr>
          <w:rFonts w:ascii="Times New Roman" w:hAnsi="Times New Roman" w:cs="Times New Roman"/>
          <w:b/>
          <w:bCs/>
          <w:sz w:val="44"/>
          <w:szCs w:val="44"/>
        </w:rPr>
      </w:pPr>
      <w:r w:rsidRPr="00895CE4">
        <w:rPr>
          <w:rFonts w:ascii="Times New Roman" w:hAnsi="Times New Roman" w:cs="Times New Roman"/>
          <w:b/>
          <w:bCs/>
          <w:sz w:val="44"/>
          <w:szCs w:val="44"/>
        </w:rPr>
        <w:t>Analy</w:t>
      </w:r>
      <w:r w:rsidR="00895CE4">
        <w:rPr>
          <w:rFonts w:ascii="Times New Roman" w:hAnsi="Times New Roman" w:cs="Times New Roman"/>
          <w:b/>
          <w:bCs/>
          <w:sz w:val="44"/>
          <w:szCs w:val="44"/>
        </w:rPr>
        <w:t>s</w:t>
      </w:r>
      <w:r w:rsidRPr="00895CE4">
        <w:rPr>
          <w:rFonts w:ascii="Times New Roman" w:hAnsi="Times New Roman" w:cs="Times New Roman"/>
          <w:b/>
          <w:bCs/>
          <w:sz w:val="44"/>
          <w:szCs w:val="44"/>
        </w:rPr>
        <w:t xml:space="preserve">ing S&amp;P 500 Returns Using </w:t>
      </w:r>
      <w:r w:rsidRPr="00895CE4">
        <w:rPr>
          <w:rFonts w:ascii="Times New Roman" w:hAnsi="Times New Roman" w:cs="Times New Roman"/>
          <w:b/>
          <w:bCs/>
          <w:sz w:val="44"/>
          <w:szCs w:val="44"/>
        </w:rPr>
        <w:t>Multiple Regression</w:t>
      </w:r>
    </w:p>
    <w:p w14:paraId="65C50D75" w14:textId="77777777" w:rsidR="000A3718" w:rsidRPr="00895CE4" w:rsidRDefault="000A3718" w:rsidP="00711E49">
      <w:pPr>
        <w:jc w:val="center"/>
        <w:rPr>
          <w:rFonts w:ascii="Times New Roman" w:hAnsi="Times New Roman" w:cs="Times New Roman"/>
          <w:b/>
          <w:bCs/>
          <w:sz w:val="36"/>
          <w:szCs w:val="36"/>
        </w:rPr>
      </w:pPr>
    </w:p>
    <w:p w14:paraId="396A2BCB" w14:textId="03DD6CB2" w:rsidR="00711E49" w:rsidRPr="00895CE4" w:rsidRDefault="00711E49" w:rsidP="00711E49">
      <w:pPr>
        <w:jc w:val="both"/>
        <w:rPr>
          <w:rFonts w:ascii="Times New Roman" w:hAnsi="Times New Roman" w:cs="Times New Roman"/>
          <w:b/>
          <w:bCs/>
          <w:sz w:val="28"/>
          <w:szCs w:val="28"/>
        </w:rPr>
      </w:pPr>
      <w:r w:rsidRPr="00895CE4">
        <w:rPr>
          <w:rFonts w:ascii="Times New Roman" w:hAnsi="Times New Roman" w:cs="Times New Roman"/>
          <w:b/>
          <w:bCs/>
          <w:sz w:val="28"/>
          <w:szCs w:val="28"/>
        </w:rPr>
        <w:t xml:space="preserve">Abstract </w:t>
      </w:r>
    </w:p>
    <w:p w14:paraId="43737D76" w14:textId="77777777" w:rsidR="00A23888" w:rsidRDefault="00A23888" w:rsidP="00A23888">
      <w:pPr>
        <w:jc w:val="both"/>
        <w:rPr>
          <w:rFonts w:ascii="Times New Roman" w:hAnsi="Times New Roman" w:cs="Times New Roman"/>
        </w:rPr>
      </w:pPr>
      <w:r w:rsidRPr="00895CE4">
        <w:rPr>
          <w:rFonts w:ascii="Times New Roman" w:hAnsi="Times New Roman" w:cs="Times New Roman"/>
        </w:rPr>
        <w:t xml:space="preserve">This study examines the predictive relationship between macroeconomic variables and S&amp;P 500 returns from March 2020 to March 2025, a period marked by unprecedented volatility due to the COVID-19 pandemic, post-pandemic recovery, and aggressive monetary policy shifts. Using multiple linear regression, we </w:t>
      </w:r>
      <w:proofErr w:type="spellStart"/>
      <w:r w:rsidRPr="00895CE4">
        <w:rPr>
          <w:rFonts w:ascii="Times New Roman" w:hAnsi="Times New Roman" w:cs="Times New Roman"/>
        </w:rPr>
        <w:t>analyze</w:t>
      </w:r>
      <w:proofErr w:type="spellEnd"/>
      <w:r w:rsidRPr="00895CE4">
        <w:rPr>
          <w:rFonts w:ascii="Times New Roman" w:hAnsi="Times New Roman" w:cs="Times New Roman"/>
        </w:rPr>
        <w:t xml:space="preserve"> the influence of three factors—</w:t>
      </w:r>
      <w:r w:rsidRPr="00895CE4">
        <w:rPr>
          <w:rFonts w:ascii="Times New Roman" w:hAnsi="Times New Roman" w:cs="Times New Roman"/>
          <w:b/>
          <w:bCs/>
        </w:rPr>
        <w:t>10-Year Treasury Yield, Crude Oil Prices, and the US Dollar Index</w:t>
      </w:r>
      <w:r w:rsidRPr="00895CE4">
        <w:rPr>
          <w:rFonts w:ascii="Times New Roman" w:hAnsi="Times New Roman" w:cs="Times New Roman"/>
        </w:rPr>
        <w:t xml:space="preserve">—on monthly equity returns. The model explains </w:t>
      </w:r>
      <w:r>
        <w:rPr>
          <w:rFonts w:ascii="Times New Roman" w:hAnsi="Times New Roman" w:cs="Times New Roman"/>
          <w:b/>
          <w:bCs/>
        </w:rPr>
        <w:t>23.30</w:t>
      </w:r>
      <w:r w:rsidRPr="00895CE4">
        <w:rPr>
          <w:rFonts w:ascii="Times New Roman" w:hAnsi="Times New Roman" w:cs="Times New Roman"/>
          <w:b/>
          <w:bCs/>
        </w:rPr>
        <w:t>%</w:t>
      </w:r>
      <w:r w:rsidRPr="00895CE4">
        <w:rPr>
          <w:rFonts w:ascii="Times New Roman" w:hAnsi="Times New Roman" w:cs="Times New Roman"/>
        </w:rPr>
        <w:t xml:space="preserve"> of the variance in S&amp;P 500 returns </w:t>
      </w:r>
      <w:r w:rsidRPr="00895CE4">
        <w:rPr>
          <w:rFonts w:ascii="Times New Roman" w:hAnsi="Times New Roman" w:cs="Times New Roman"/>
          <w:b/>
          <w:bCs/>
        </w:rPr>
        <w:t>(R² = 0.</w:t>
      </w:r>
      <w:r>
        <w:rPr>
          <w:rFonts w:ascii="Times New Roman" w:hAnsi="Times New Roman" w:cs="Times New Roman"/>
          <w:b/>
          <w:bCs/>
        </w:rPr>
        <w:t>2330</w:t>
      </w:r>
      <w:r w:rsidRPr="00895CE4">
        <w:rPr>
          <w:rFonts w:ascii="Times New Roman" w:hAnsi="Times New Roman" w:cs="Times New Roman"/>
          <w:b/>
          <w:bCs/>
        </w:rPr>
        <w:t xml:space="preserve">), </w:t>
      </w:r>
      <w:r w:rsidRPr="00895CE4">
        <w:rPr>
          <w:rFonts w:ascii="Times New Roman" w:hAnsi="Times New Roman" w:cs="Times New Roman"/>
        </w:rPr>
        <w:t>with Crude Oil Prices emerging as a statistically significant predictor (β = 0.00</w:t>
      </w:r>
      <w:r>
        <w:rPr>
          <w:rFonts w:ascii="Times New Roman" w:hAnsi="Times New Roman" w:cs="Times New Roman"/>
        </w:rPr>
        <w:t>1</w:t>
      </w:r>
      <w:r w:rsidRPr="00895CE4">
        <w:rPr>
          <w:rFonts w:ascii="Times New Roman" w:hAnsi="Times New Roman" w:cs="Times New Roman"/>
        </w:rPr>
        <w:t>, p = 0.</w:t>
      </w:r>
      <w:r>
        <w:rPr>
          <w:rFonts w:ascii="Times New Roman" w:hAnsi="Times New Roman" w:cs="Times New Roman"/>
        </w:rPr>
        <w:t>8005</w:t>
      </w:r>
      <w:r w:rsidRPr="00895CE4">
        <w:rPr>
          <w:rFonts w:ascii="Times New Roman" w:hAnsi="Times New Roman" w:cs="Times New Roman"/>
        </w:rPr>
        <w:t xml:space="preserve">), suggesting rising energy costs inversely impact equity performance. The 10-Year Yield shows marginal significance (β = </w:t>
      </w:r>
      <w:r>
        <w:rPr>
          <w:rFonts w:ascii="Times New Roman" w:hAnsi="Times New Roman" w:cs="Times New Roman"/>
        </w:rPr>
        <w:t>-1.055</w:t>
      </w:r>
      <w:r w:rsidRPr="00895CE4">
        <w:rPr>
          <w:rFonts w:ascii="Times New Roman" w:hAnsi="Times New Roman" w:cs="Times New Roman"/>
        </w:rPr>
        <w:t>, p = 0.</w:t>
      </w:r>
      <w:r>
        <w:rPr>
          <w:rFonts w:ascii="Times New Roman" w:hAnsi="Times New Roman" w:cs="Times New Roman"/>
        </w:rPr>
        <w:t>0</w:t>
      </w:r>
      <w:r w:rsidRPr="00895CE4">
        <w:rPr>
          <w:rFonts w:ascii="Times New Roman" w:hAnsi="Times New Roman" w:cs="Times New Roman"/>
        </w:rPr>
        <w:t>7</w:t>
      </w:r>
      <w:r>
        <w:rPr>
          <w:rFonts w:ascii="Times New Roman" w:hAnsi="Times New Roman" w:cs="Times New Roman"/>
        </w:rPr>
        <w:t>05</w:t>
      </w:r>
      <w:r w:rsidRPr="00895CE4">
        <w:rPr>
          <w:rFonts w:ascii="Times New Roman" w:hAnsi="Times New Roman" w:cs="Times New Roman"/>
        </w:rPr>
        <w:t xml:space="preserve">), aligning with equity risk premium theory, while the Dollar Index exhibits no significant relationship. Diagnostic tests reveal violations of key regression assumptions, including heteroscedasticity </w:t>
      </w:r>
      <w:r w:rsidRPr="00895CE4">
        <w:rPr>
          <w:rFonts w:ascii="Times New Roman" w:hAnsi="Times New Roman" w:cs="Times New Roman"/>
          <w:b/>
          <w:bCs/>
        </w:rPr>
        <w:t>(p = 0.0541)</w:t>
      </w:r>
      <w:r w:rsidRPr="00895CE4">
        <w:rPr>
          <w:rFonts w:ascii="Times New Roman" w:hAnsi="Times New Roman" w:cs="Times New Roman"/>
        </w:rPr>
        <w:t xml:space="preserve"> and residual autocorrelation </w:t>
      </w:r>
      <w:r w:rsidRPr="00895CE4">
        <w:rPr>
          <w:rFonts w:ascii="Times New Roman" w:hAnsi="Times New Roman" w:cs="Times New Roman"/>
          <w:b/>
          <w:bCs/>
        </w:rPr>
        <w:t>(Durbin-Watson = 1.505</w:t>
      </w:r>
      <w:r w:rsidRPr="00895CE4">
        <w:rPr>
          <w:rFonts w:ascii="Times New Roman" w:hAnsi="Times New Roman" w:cs="Times New Roman"/>
        </w:rPr>
        <w:t xml:space="preserve">), likely driven by structural breaks such as the 2020 market crash and 2022–2023 Fed rate hikes. Visualization of price trajectories highlights extreme volatility in oil markets and disrupted cyclicality in currency dynamics. The study underscores the limitations of linear models in capturing regime-specific relationships and advocates for incorporating structural break tests, lagged variables, and nonlinear specifications. These findings emphasize the necessity of adaptive financial </w:t>
      </w:r>
      <w:proofErr w:type="spellStart"/>
      <w:r w:rsidRPr="00895CE4">
        <w:rPr>
          <w:rFonts w:ascii="Times New Roman" w:hAnsi="Times New Roman" w:cs="Times New Roman"/>
        </w:rPr>
        <w:t>modeling</w:t>
      </w:r>
      <w:proofErr w:type="spellEnd"/>
      <w:r w:rsidRPr="00895CE4">
        <w:rPr>
          <w:rFonts w:ascii="Times New Roman" w:hAnsi="Times New Roman" w:cs="Times New Roman"/>
        </w:rPr>
        <w:t xml:space="preserve"> in eras of macroeconomic instability, offering insights for investors and policymakers navigating complex intermarket dynamics.</w:t>
      </w:r>
    </w:p>
    <w:p w14:paraId="33BE88EC" w14:textId="77777777" w:rsidR="00895CE4" w:rsidRPr="00895CE4" w:rsidRDefault="00895CE4" w:rsidP="00711E49">
      <w:pPr>
        <w:jc w:val="both"/>
        <w:rPr>
          <w:rFonts w:ascii="Times New Roman" w:hAnsi="Times New Roman" w:cs="Times New Roman"/>
        </w:rPr>
      </w:pPr>
    </w:p>
    <w:p w14:paraId="629BAC92" w14:textId="77777777" w:rsidR="00895CE4" w:rsidRPr="00895CE4" w:rsidRDefault="00895CE4" w:rsidP="00711E49">
      <w:pPr>
        <w:jc w:val="both"/>
        <w:rPr>
          <w:rFonts w:ascii="Times New Roman" w:hAnsi="Times New Roman" w:cs="Times New Roman"/>
        </w:rPr>
      </w:pPr>
    </w:p>
    <w:p w14:paraId="496DAD49" w14:textId="2F97837A" w:rsidR="00895CE4" w:rsidRPr="00895CE4" w:rsidRDefault="00895CE4" w:rsidP="00711E49">
      <w:pPr>
        <w:jc w:val="both"/>
        <w:rPr>
          <w:rFonts w:ascii="Times New Roman" w:hAnsi="Times New Roman" w:cs="Times New Roman"/>
          <w:b/>
          <w:bCs/>
          <w:sz w:val="28"/>
          <w:szCs w:val="28"/>
        </w:rPr>
      </w:pPr>
      <w:r w:rsidRPr="00895CE4">
        <w:rPr>
          <w:rFonts w:ascii="Times New Roman" w:hAnsi="Times New Roman" w:cs="Times New Roman"/>
          <w:b/>
          <w:bCs/>
          <w:sz w:val="28"/>
          <w:szCs w:val="28"/>
        </w:rPr>
        <w:t>References:</w:t>
      </w:r>
    </w:p>
    <w:p w14:paraId="73B6BAC1" w14:textId="753460FA" w:rsidR="00895CE4" w:rsidRPr="00895CE4" w:rsidRDefault="00895CE4" w:rsidP="00711E49">
      <w:pPr>
        <w:jc w:val="both"/>
        <w:rPr>
          <w:rFonts w:ascii="Times New Roman" w:hAnsi="Times New Roman" w:cs="Times New Roman"/>
          <w:i/>
          <w:iCs/>
        </w:rPr>
      </w:pPr>
      <w:r w:rsidRPr="00895CE4">
        <w:rPr>
          <w:rFonts w:ascii="Times New Roman" w:hAnsi="Times New Roman" w:cs="Times New Roman"/>
          <w:i/>
          <w:iCs/>
        </w:rPr>
        <w:t>S&amp;P Dow Jones Indices. (2023). S&amp;P 500® [Dataset]. Retrieved from </w:t>
      </w:r>
      <w:hyperlink r:id="rId4" w:tgtFrame="_blank" w:history="1">
        <w:r w:rsidRPr="00895CE4">
          <w:rPr>
            <w:rStyle w:val="Hyperlink"/>
            <w:rFonts w:ascii="Times New Roman" w:hAnsi="Times New Roman" w:cs="Times New Roman"/>
            <w:i/>
            <w:iCs/>
          </w:rPr>
          <w:t>https://www.spglobal.com/spdji/</w:t>
        </w:r>
      </w:hyperlink>
      <w:r w:rsidRPr="00895CE4">
        <w:rPr>
          <w:rFonts w:ascii="Times New Roman" w:hAnsi="Times New Roman" w:cs="Times New Roman"/>
          <w:i/>
          <w:iCs/>
        </w:rPr>
        <w:br/>
        <w:t>Intercontinental Exchange. (2023). ICE U.S. Treasury 10-Year Yield [Dataset]. Retrieved from </w:t>
      </w:r>
      <w:hyperlink r:id="rId5" w:tgtFrame="_blank" w:history="1">
        <w:r w:rsidRPr="00895CE4">
          <w:rPr>
            <w:rStyle w:val="Hyperlink"/>
            <w:rFonts w:ascii="Times New Roman" w:hAnsi="Times New Roman" w:cs="Times New Roman"/>
            <w:i/>
            <w:iCs/>
          </w:rPr>
          <w:t>https://www.theice.com/</w:t>
        </w:r>
      </w:hyperlink>
      <w:r w:rsidRPr="00895CE4">
        <w:rPr>
          <w:rFonts w:ascii="Times New Roman" w:hAnsi="Times New Roman" w:cs="Times New Roman"/>
          <w:i/>
          <w:iCs/>
        </w:rPr>
        <w:br/>
        <w:t>CME Group. (2023). WTI Crude Oil Futures [Dataset]. Retrieved from </w:t>
      </w:r>
      <w:hyperlink r:id="rId6" w:tgtFrame="_blank" w:history="1">
        <w:r w:rsidRPr="00895CE4">
          <w:rPr>
            <w:rStyle w:val="Hyperlink"/>
            <w:rFonts w:ascii="Times New Roman" w:hAnsi="Times New Roman" w:cs="Times New Roman"/>
            <w:i/>
            <w:iCs/>
          </w:rPr>
          <w:t>https://www.cmegroup.com/</w:t>
        </w:r>
      </w:hyperlink>
      <w:r w:rsidRPr="00895CE4">
        <w:rPr>
          <w:rFonts w:ascii="Times New Roman" w:hAnsi="Times New Roman" w:cs="Times New Roman"/>
          <w:i/>
          <w:iCs/>
        </w:rPr>
        <w:br/>
      </w:r>
      <w:proofErr w:type="spellStart"/>
      <w:r w:rsidRPr="00895CE4">
        <w:rPr>
          <w:rFonts w:ascii="Times New Roman" w:hAnsi="Times New Roman" w:cs="Times New Roman"/>
          <w:i/>
          <w:iCs/>
        </w:rPr>
        <w:t>Aroussi</w:t>
      </w:r>
      <w:proofErr w:type="spellEnd"/>
      <w:r w:rsidRPr="00895CE4">
        <w:rPr>
          <w:rFonts w:ascii="Times New Roman" w:hAnsi="Times New Roman" w:cs="Times New Roman"/>
          <w:i/>
          <w:iCs/>
        </w:rPr>
        <w:t xml:space="preserve">, R. (2023). </w:t>
      </w:r>
      <w:proofErr w:type="spellStart"/>
      <w:r w:rsidRPr="00895CE4">
        <w:rPr>
          <w:rFonts w:ascii="Times New Roman" w:hAnsi="Times New Roman" w:cs="Times New Roman"/>
          <w:i/>
          <w:iCs/>
        </w:rPr>
        <w:t>yfinance</w:t>
      </w:r>
      <w:proofErr w:type="spellEnd"/>
      <w:r w:rsidRPr="00895CE4">
        <w:rPr>
          <w:rFonts w:ascii="Times New Roman" w:hAnsi="Times New Roman" w:cs="Times New Roman"/>
          <w:i/>
          <w:iCs/>
        </w:rPr>
        <w:t>: Yahoo! Finance market data downloader (Version 0.2.31) [Computer software]. </w:t>
      </w:r>
      <w:hyperlink r:id="rId7" w:tgtFrame="_blank" w:history="1">
        <w:r w:rsidRPr="00895CE4">
          <w:rPr>
            <w:rStyle w:val="Hyperlink"/>
            <w:rFonts w:ascii="Times New Roman" w:hAnsi="Times New Roman" w:cs="Times New Roman"/>
            <w:i/>
            <w:iCs/>
          </w:rPr>
          <w:t>https://github.com/ranaroussi/yfinance</w:t>
        </w:r>
      </w:hyperlink>
    </w:p>
    <w:sectPr w:rsidR="00895CE4" w:rsidRPr="00895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E49"/>
    <w:rsid w:val="000A3718"/>
    <w:rsid w:val="000E02E4"/>
    <w:rsid w:val="001B5A98"/>
    <w:rsid w:val="002E7D20"/>
    <w:rsid w:val="004C1382"/>
    <w:rsid w:val="00711E49"/>
    <w:rsid w:val="0072217F"/>
    <w:rsid w:val="00800AEA"/>
    <w:rsid w:val="00895CE4"/>
    <w:rsid w:val="00A23888"/>
    <w:rsid w:val="00A95720"/>
    <w:rsid w:val="00D66B12"/>
    <w:rsid w:val="00DD3400"/>
    <w:rsid w:val="00E86422"/>
    <w:rsid w:val="00FA6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BF0F"/>
  <w15:chartTrackingRefBased/>
  <w15:docId w15:val="{624C168F-7D6C-4F0B-ACA1-70D5969B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E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E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E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E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E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E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E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E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E49"/>
    <w:rPr>
      <w:rFonts w:eastAsiaTheme="majorEastAsia" w:cstheme="majorBidi"/>
      <w:color w:val="272727" w:themeColor="text1" w:themeTint="D8"/>
    </w:rPr>
  </w:style>
  <w:style w:type="paragraph" w:styleId="Title">
    <w:name w:val="Title"/>
    <w:basedOn w:val="Normal"/>
    <w:next w:val="Normal"/>
    <w:link w:val="TitleChar"/>
    <w:uiPriority w:val="10"/>
    <w:qFormat/>
    <w:rsid w:val="0071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E49"/>
    <w:pPr>
      <w:spacing w:before="160"/>
      <w:jc w:val="center"/>
    </w:pPr>
    <w:rPr>
      <w:i/>
      <w:iCs/>
      <w:color w:val="404040" w:themeColor="text1" w:themeTint="BF"/>
    </w:rPr>
  </w:style>
  <w:style w:type="character" w:customStyle="1" w:styleId="QuoteChar">
    <w:name w:val="Quote Char"/>
    <w:basedOn w:val="DefaultParagraphFont"/>
    <w:link w:val="Quote"/>
    <w:uiPriority w:val="29"/>
    <w:rsid w:val="00711E49"/>
    <w:rPr>
      <w:i/>
      <w:iCs/>
      <w:color w:val="404040" w:themeColor="text1" w:themeTint="BF"/>
    </w:rPr>
  </w:style>
  <w:style w:type="paragraph" w:styleId="ListParagraph">
    <w:name w:val="List Paragraph"/>
    <w:basedOn w:val="Normal"/>
    <w:uiPriority w:val="34"/>
    <w:qFormat/>
    <w:rsid w:val="00711E49"/>
    <w:pPr>
      <w:ind w:left="720"/>
      <w:contextualSpacing/>
    </w:pPr>
  </w:style>
  <w:style w:type="character" w:styleId="IntenseEmphasis">
    <w:name w:val="Intense Emphasis"/>
    <w:basedOn w:val="DefaultParagraphFont"/>
    <w:uiPriority w:val="21"/>
    <w:qFormat/>
    <w:rsid w:val="00711E49"/>
    <w:rPr>
      <w:i/>
      <w:iCs/>
      <w:color w:val="2F5496" w:themeColor="accent1" w:themeShade="BF"/>
    </w:rPr>
  </w:style>
  <w:style w:type="paragraph" w:styleId="IntenseQuote">
    <w:name w:val="Intense Quote"/>
    <w:basedOn w:val="Normal"/>
    <w:next w:val="Normal"/>
    <w:link w:val="IntenseQuoteChar"/>
    <w:uiPriority w:val="30"/>
    <w:qFormat/>
    <w:rsid w:val="00711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E49"/>
    <w:rPr>
      <w:i/>
      <w:iCs/>
      <w:color w:val="2F5496" w:themeColor="accent1" w:themeShade="BF"/>
    </w:rPr>
  </w:style>
  <w:style w:type="character" w:styleId="IntenseReference">
    <w:name w:val="Intense Reference"/>
    <w:basedOn w:val="DefaultParagraphFont"/>
    <w:uiPriority w:val="32"/>
    <w:qFormat/>
    <w:rsid w:val="00711E49"/>
    <w:rPr>
      <w:b/>
      <w:bCs/>
      <w:smallCaps/>
      <w:color w:val="2F5496" w:themeColor="accent1" w:themeShade="BF"/>
      <w:spacing w:val="5"/>
    </w:rPr>
  </w:style>
  <w:style w:type="character" w:styleId="Hyperlink">
    <w:name w:val="Hyperlink"/>
    <w:basedOn w:val="DefaultParagraphFont"/>
    <w:uiPriority w:val="99"/>
    <w:unhideWhenUsed/>
    <w:rsid w:val="001B5A98"/>
    <w:rPr>
      <w:color w:val="0563C1" w:themeColor="hyperlink"/>
      <w:u w:val="single"/>
    </w:rPr>
  </w:style>
  <w:style w:type="character" w:styleId="UnresolvedMention">
    <w:name w:val="Unresolved Mention"/>
    <w:basedOn w:val="DefaultParagraphFont"/>
    <w:uiPriority w:val="99"/>
    <w:semiHidden/>
    <w:unhideWhenUsed/>
    <w:rsid w:val="001B5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anaroussi/yfi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megroup.com/" TargetMode="External"/><Relationship Id="rId5" Type="http://schemas.openxmlformats.org/officeDocument/2006/relationships/hyperlink" Target="https://www.theice.com/" TargetMode="External"/><Relationship Id="rId4" Type="http://schemas.openxmlformats.org/officeDocument/2006/relationships/hyperlink" Target="https://www.spglobal.com/spdji/"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5</cp:revision>
  <dcterms:created xsi:type="dcterms:W3CDTF">2025-03-22T16:33:00Z</dcterms:created>
  <dcterms:modified xsi:type="dcterms:W3CDTF">2025-03-22T18:04:00Z</dcterms:modified>
</cp:coreProperties>
</file>