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PatentPulse Project Report</w:t>
      </w:r>
    </w:p>
    <w:p>
      <w:pPr>
        <w:pStyle w:val="Subtitle"/>
      </w:pPr>
      <w:r>
        <w:t>Research document management with file integrity verification and internal review</w:t>
      </w:r>
    </w:p>
    <w:p>
      <w:r>
        <w:t>BTech in Artificial Intelligence and Data Science, Semester V</w:t>
        <w:br/>
        <w:t>Arya College of Engineering and IT, Jaipur</w:t>
        <w:br/>
        <w:t>Advanced Java mini project</w:t>
        <w:br/>
        <w:t>Academic session 2026–27</w:t>
      </w:r>
    </w:p>
    <w:p>
      <w:pPr>
        <w:pStyle w:val="Heading1"/>
      </w:pPr>
      <w:r>
        <w:t>Abstract</w:t>
      </w:r>
    </w:p>
    <w:p>
      <w:r>
        <w:t>PatentPulse is a Java web application for organising research drafts, submitted files and internal reviewer feedback. It addresses a practical coordination problem: a research file may exist in several versions while its comments, submission details and review decisions are stored separately. The application connects these records through a version identifier and keeps previous submitted metadata available for later inspection.</w:t>
      </w:r>
    </w:p>
    <w:p>
      <w:r>
        <w:t>The system uses Servlet controllers, JSP views, JDBC services and a relational database. Uploaded files remain outside the web application directory. Each submitted version records a SHA-256 fingerprint, and an authorised user can compare a candidate file with that fingerprint. Administrators assign reviewers and manage accounts. A version becomes internally reviewed after two approvals, while any rejection requires revision.</w:t>
      </w:r>
    </w:p>
    <w:p>
      <w:r>
        <w:t>This report describes the supplied implementation and its limits. The archive includes a test report recording 11 successful tests on 6 October 2026. Those results are attributed to that report and were not rerun while preparing these documents. The current team GitHub branch and the college deployment need separate verification. The system does not grant patents or independently establish authorship.</w:t>
      </w:r>
    </w:p>
    <w:tbl>
      <w:tblPr>
        <w:tblW w:type="auto" w:w="0"/>
        <w:jc w:val="center"/>
        <w:tblLayout w:type="fixed"/>
        <w:tblLook w:firstColumn="1" w:firstRow="1" w:lastColumn="0" w:lastRow="0" w:noHBand="0" w:noVBand="1" w:val="04A0"/>
      </w:tblPr>
      <w:tblGrid>
        <w:gridCol w:w="2016"/>
        <w:gridCol w:w="8064"/>
      </w:tblGrid>
      <w:tr>
        <w:trPr>
          <w:cantSplit/>
          <w:tblHeader/>
        </w:trPr>
        <w:tc>
          <w:tcPr>
            <w:tcW w:type="dxa" w:w="2016"/>
            <w:vAlign w:val="center"/>
            <w:shd w:fill="243B5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color w:val="FFFFFF"/>
                <w:sz w:val="20"/>
              </w:rPr>
              <w:t>Member</w:t>
            </w:r>
          </w:p>
        </w:tc>
        <w:tc>
          <w:tcPr>
            <w:tcW w:type="dxa" w:w="8064"/>
            <w:vAlign w:val="center"/>
            <w:shd w:fill="243B5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color w:val="FFFFFF"/>
                <w:sz w:val="20"/>
              </w:rPr>
              <w:t>Assigned development module</w:t>
            </w:r>
          </w:p>
        </w:tc>
      </w:tr>
      <w:tr>
        <w:trPr>
          <w:cantSplit/>
        </w:trPr>
        <w:tc>
          <w:tcPr>
            <w:tcW w:type="dxa" w:w="2016"/>
            <w:vAlign w:val="center"/>
            <w:shd w:fill="F1F4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Mohit Sharma</w:t>
            </w:r>
          </w:p>
        </w:tc>
        <w:tc>
          <w:tcPr>
            <w:tcW w:type="dxa" w:w="8064"/>
            <w:vAlign w:val="center"/>
            <w:shd w:fill="F1F4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Research drafts, uploads, version history and team coordination</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Meet</w:t>
            </w:r>
          </w:p>
        </w:tc>
        <w:tc>
          <w:tcPr>
            <w:tcW w:type="dxa" w:w="806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Login, registration, sessions and access control</w:t>
            </w:r>
          </w:p>
        </w:tc>
      </w:tr>
      <w:tr>
        <w:trPr>
          <w:cantSplit/>
        </w:trPr>
        <w:tc>
          <w:tcPr>
            <w:tcW w:type="dxa" w:w="2016"/>
            <w:vAlign w:val="center"/>
            <w:shd w:fill="F1F4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Jay</w:t>
            </w:r>
          </w:p>
        </w:tc>
        <w:tc>
          <w:tcPr>
            <w:tcW w:type="dxa" w:w="8064"/>
            <w:vAlign w:val="center"/>
            <w:shd w:fill="F1F4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SHA-256, file comparison and authorised downloads</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Nitesh</w:t>
            </w:r>
          </w:p>
        </w:tc>
        <w:tc>
          <w:tcPr>
            <w:tcW w:type="dxa" w:w="806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Reviewer assignments, decisions and feedback</w:t>
            </w:r>
          </w:p>
        </w:tc>
      </w:tr>
      <w:tr>
        <w:trPr>
          <w:cantSplit/>
        </w:trPr>
        <w:tc>
          <w:tcPr>
            <w:tcW w:type="dxa" w:w="2016"/>
            <w:vAlign w:val="center"/>
            <w:shd w:fill="F1F4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Mann Jain</w:t>
            </w:r>
          </w:p>
        </w:tc>
        <w:tc>
          <w:tcPr>
            <w:tcW w:type="dxa" w:w="8064"/>
            <w:vAlign w:val="center"/>
            <w:shd w:fill="F1F4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Administration, audit logs and submission receipts</w:t>
            </w:r>
          </w:p>
        </w:tc>
      </w:tr>
    </w:tbl>
    <w:p>
      <w:pPr>
        <w:spacing w:after="0"/>
      </w:pPr>
    </w:p>
    <w:p>
      <w:r>
        <w:t>Guide name, enrolment numbers and any institute-specific certificate pages must be completed by the team. No approval or signature is asserted in this document.</w:t>
      </w:r>
    </w:p>
    <w:p>
      <w:r>
        <w:br w:type="page"/>
      </w:r>
    </w:p>
    <w:p>
      <w:pPr>
        <w:pStyle w:val="Heading1"/>
      </w:pPr>
      <w:r>
        <w:t>1 Problem definition and scope</w:t>
      </w:r>
    </w:p>
    <w:p>
      <w:r>
        <w:t>Email attachments and shared folders can hold research files, but a local team still needs a consistent way to connect each file with its version, author account, review decisions and submission time. PatentPulse provides this workflow for an institution or supervised project group. The intended users are researchers, assigned reviewers and administrators.</w:t>
      </w:r>
    </w:p>
    <w:p>
      <w:pPr>
        <w:pStyle w:val="Heading2"/>
      </w:pPr>
      <w:r>
        <w:t>Objectives</w:t>
      </w:r>
    </w:p>
    <w:p>
      <w:r>
        <w:t>Save draft metadata before submission and preserve the metadata of each submitted version.</w:t>
      </w:r>
    </w:p>
    <w:p>
      <w:r>
        <w:t>Store supported files privately and record a reproducible SHA-256 fingerprint.</w:t>
      </w:r>
    </w:p>
    <w:p>
      <w:r>
        <w:t>Restrict document access to the owner, authorised administrator or reviewer assigned to that version.</w:t>
      </w:r>
    </w:p>
    <w:p>
      <w:r>
        <w:t>Record individual reviewer decisions and apply one clear rule for the final internal status.</w:t>
      </w:r>
    </w:p>
    <w:p>
      <w:r>
        <w:t>Provide an audit view and printable submission receipts.</w:t>
      </w:r>
    </w:p>
    <w:p>
      <w:pPr>
        <w:pStyle w:val="Heading2"/>
      </w:pPr>
      <w:r>
        <w:t>Scope of the prototype</w:t>
      </w:r>
    </w:p>
    <w:p>
      <w:r>
        <w:t>The application includes registration, login, document listing, search, filtering, version history, comparison-file verification, downloads, reviewer assignment, feedback and user administration. A receipt is a page generated from a version record. There is no separate receipt table or digital-signature service.</w:t>
      </w:r>
    </w:p>
    <w:p>
      <w:pPr>
        <w:pStyle w:val="Heading2"/>
      </w:pPr>
      <w:r>
        <w:t>Patent information and project boundaries</w:t>
      </w:r>
    </w:p>
    <w:p>
      <w:r>
        <w:t>Indian patentability involves novelty, an inventive step and industrial applicability, together with the statutory exclusions [4]. Patent rights are territorial, and a PCT application supports seeking protection across participating jurisdictions [5,6]. These formal processes are outside PatentPulse. Internal approval means completion of the application’s review rule, not approval by a patent office. Confidential research should be handled through the institution’s actual disclosure policy.</w:t>
      </w:r>
    </w:p>
    <w:p>
      <w:pPr>
        <w:pStyle w:val="Heading2"/>
      </w:pPr>
      <w:r>
        <w:t>Development approach</w:t>
      </w:r>
    </w:p>
    <w:p>
      <w:r>
        <w:t>The documentation uses the agreed 12-phase plan: formation, research, requirements, UML, database and UI design, module development, integration and final preparation. The accompanying July–September reports are planning drafts. Their dates do not demonstrate that activities occurred on those days. Each member should replace proposed entries with their actual records.</w:t>
      </w:r>
    </w:p>
    <w:p>
      <w:r>
        <w:br w:type="page"/>
      </w:r>
    </w:p>
    <w:p>
      <w:pPr>
        <w:pStyle w:val="Heading1"/>
      </w:pPr>
      <w:r>
        <w:t>2 Architecture and application workflow</w:t>
      </w:r>
    </w:p>
    <w:p>
      <w:r>
        <w:t>The browser sends requests to Tomcat. SecurityFilter establishes encoding and security headers, refreshes the session user from the database, and checks protected routes and POST tokens. AuthServlet handles authentication requests. AppServlet coordinates research, reviews and administration. FileServlet serves authorised downloads. Services own validation and workflow rules, while Database supplies prepared JDBC operations and transactions.</w:t>
      </w:r>
    </w:p>
    <w:tbl>
      <w:tblPr>
        <w:tblW w:type="auto" w:w="0"/>
        <w:jc w:val="center"/>
        <w:tblLayout w:type="fixed"/>
        <w:tblLook w:firstColumn="1" w:firstRow="1" w:lastColumn="0" w:lastRow="0" w:noHBand="0" w:noVBand="1" w:val="04A0"/>
      </w:tblPr>
      <w:tblGrid>
        <w:gridCol w:w="1224"/>
        <w:gridCol w:w="3888"/>
        <w:gridCol w:w="4968"/>
      </w:tblGrid>
      <w:tr>
        <w:trPr>
          <w:cantSplit/>
          <w:tblHeader/>
        </w:trPr>
        <w:tc>
          <w:tcPr>
            <w:tcW w:type="dxa" w:w="1224"/>
            <w:vAlign w:val="center"/>
            <w:shd w:fill="243B5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color w:val="FFFFFF"/>
                <w:sz w:val="20"/>
              </w:rPr>
              <w:t>Layer</w:t>
            </w:r>
          </w:p>
        </w:tc>
        <w:tc>
          <w:tcPr>
            <w:tcW w:type="dxa" w:w="3888"/>
            <w:vAlign w:val="center"/>
            <w:shd w:fill="243B5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color w:val="FFFFFF"/>
                <w:sz w:val="20"/>
              </w:rPr>
              <w:t>Classes or resources</w:t>
            </w:r>
          </w:p>
        </w:tc>
        <w:tc>
          <w:tcPr>
            <w:tcW w:type="dxa" w:w="4968"/>
            <w:vAlign w:val="center"/>
            <w:shd w:fill="243B5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color w:val="FFFFFF"/>
                <w:sz w:val="20"/>
              </w:rPr>
              <w:t>Purpose</w:t>
            </w:r>
          </w:p>
        </w:tc>
      </w:tr>
      <w:tr>
        <w:trPr>
          <w:cantSplit/>
        </w:trPr>
        <w:tc>
          <w:tcPr>
            <w:tcW w:type="dxa" w:w="1224"/>
            <w:vAlign w:val="center"/>
            <w:shd w:fill="F1F4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View</w:t>
            </w:r>
          </w:p>
        </w:tc>
        <w:tc>
          <w:tcPr>
            <w:tcW w:type="dxa" w:w="3888"/>
            <w:vAlign w:val="center"/>
            <w:shd w:fill="F1F4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JSP, EL, JSTL, style.css, app.js</w:t>
            </w:r>
          </w:p>
        </w:tc>
        <w:tc>
          <w:tcPr>
            <w:tcW w:type="dxa" w:w="4968"/>
            <w:vAlign w:val="center"/>
            <w:shd w:fill="F1F4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Render forms, records, review controls and messages.</w:t>
            </w:r>
          </w:p>
        </w:tc>
      </w:tr>
      <w:tr>
        <w:trPr>
          <w:cantSplit/>
        </w:trPr>
        <w:tc>
          <w:tcPr>
            <w:tcW w:type="dxa" w:w="122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Web</w:t>
            </w:r>
          </w:p>
        </w:tc>
        <w:tc>
          <w:tcPr>
            <w:tcW w:type="dxa" w:w="388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SecurityFilter, AuthServlet, AppServlet, FileServlet</w:t>
            </w:r>
          </w:p>
        </w:tc>
        <w:tc>
          <w:tcPr>
            <w:tcW w:type="dxa" w:w="49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Handle HTTP requests, sessions, redirects and access boundaries.</w:t>
            </w:r>
          </w:p>
        </w:tc>
      </w:tr>
      <w:tr>
        <w:trPr>
          <w:cantSplit/>
        </w:trPr>
        <w:tc>
          <w:tcPr>
            <w:tcW w:type="dxa" w:w="1224"/>
            <w:vAlign w:val="center"/>
            <w:shd w:fill="F1F4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Services</w:t>
            </w:r>
          </w:p>
        </w:tc>
        <w:tc>
          <w:tcPr>
            <w:tcW w:type="dxa" w:w="3888"/>
            <w:vAlign w:val="center"/>
            <w:shd w:fill="F1F4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AuthService, LedgerService, UploadStore, ReviewPolicy</w:t>
            </w:r>
          </w:p>
        </w:tc>
        <w:tc>
          <w:tcPr>
            <w:tcW w:type="dxa" w:w="4968"/>
            <w:vAlign w:val="center"/>
            <w:shd w:fill="F1F4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Apply account, submission, file and review rules.</w:t>
            </w:r>
          </w:p>
        </w:tc>
      </w:tr>
      <w:tr>
        <w:trPr>
          <w:cantSplit/>
        </w:trPr>
        <w:tc>
          <w:tcPr>
            <w:tcW w:type="dxa" w:w="122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Persistence</w:t>
            </w:r>
          </w:p>
        </w:tc>
        <w:tc>
          <w:tcPr>
            <w:tcW w:type="dxa" w:w="388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Database, HikariCP, MySQL</w:t>
            </w:r>
          </w:p>
        </w:tc>
        <w:tc>
          <w:tcPr>
            <w:tcW w:type="dxa" w:w="49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Execute parameterised queries and transactions.</w:t>
            </w:r>
          </w:p>
        </w:tc>
      </w:tr>
      <w:tr>
        <w:trPr>
          <w:cantSplit/>
        </w:trPr>
        <w:tc>
          <w:tcPr>
            <w:tcW w:type="dxa" w:w="1224"/>
            <w:vAlign w:val="center"/>
            <w:shd w:fill="F1F4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Startup</w:t>
            </w:r>
          </w:p>
        </w:tc>
        <w:tc>
          <w:tcPr>
            <w:tcW w:type="dxa" w:w="3888"/>
            <w:vAlign w:val="center"/>
            <w:shd w:fill="F1F4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Config, AppContext</w:t>
            </w:r>
          </w:p>
        </w:tc>
        <w:tc>
          <w:tcPr>
            <w:tcW w:type="dxa" w:w="4968"/>
            <w:vAlign w:val="center"/>
            <w:shd w:fill="F1F4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Read configuration, initialise services and close the connection pool.</w:t>
            </w:r>
          </w:p>
        </w:tc>
      </w:tr>
    </w:tbl>
    <w:p>
      <w:pPr>
        <w:spacing w:after="0"/>
      </w:pPr>
    </w:p>
    <w:p>
      <w:pPr>
        <w:pStyle w:val="Heading2"/>
      </w:pPr>
      <w:r>
        <w:t>Submission workflow</w:t>
      </w:r>
    </w:p>
    <w:p>
      <w:r>
        <w:t>An authenticated user opens the editor, enters a title, field and summary, and either saves metadata as a draft or submits a file. UploadStore validates and stores the bytes under a generated name. LedgerService inserts a numbered version with a metadata snapshot and hash. If the database operation fails, AppServlet attempts to remove the newly stored file. The browser then displays the version page.</w:t>
      </w:r>
    </w:p>
    <w:p>
      <w:pPr>
        <w:pStyle w:val="Heading2"/>
      </w:pPr>
      <w:r>
        <w:t>Review workflow</w:t>
      </w:r>
    </w:p>
    <w:p>
      <w:r>
        <w:t>An administrator assigns up to two distinct active reviewers. The first assignment changes the version to IN_REVIEW. Each reviewer can submit one decision with comments. One approval leaves the review open, two approvals produce INTERNALLY_REVIEWED and any rejection produces NEEDS_REVISION. Both final statuses reject later votes. A later upload creates a different version with its own assignments and decisions.</w:t>
      </w:r>
    </w:p>
    <w:p>
      <w:r>
        <w:t>The UML README contains a class diagram, two sequence diagrams, a version state diagram, use cases, a deployment view and an ER diagram. They describe the supplied code rather than an unimplemented architecture.</w:t>
      </w:r>
    </w:p>
    <w:p>
      <w:r>
        <w:br w:type="page"/>
      </w:r>
    </w:p>
    <w:p>
      <w:pPr>
        <w:pStyle w:val="Heading1"/>
      </w:pPr>
      <w:r>
        <w:t>3 Database and version model</w:t>
      </w:r>
    </w:p>
    <w:tbl>
      <w:tblPr>
        <w:tblW w:type="auto" w:w="0"/>
        <w:jc w:val="center"/>
        <w:tblLayout w:type="fixed"/>
        <w:tblLook w:firstColumn="1" w:firstRow="1" w:lastColumn="0" w:lastRow="0" w:noHBand="0" w:noVBand="1" w:val="04A0"/>
      </w:tblPr>
      <w:tblGrid>
        <w:gridCol w:w="2016"/>
        <w:gridCol w:w="3600"/>
        <w:gridCol w:w="4464"/>
      </w:tblGrid>
      <w:tr>
        <w:trPr>
          <w:cantSplit/>
          <w:tblHeader/>
        </w:trPr>
        <w:tc>
          <w:tcPr>
            <w:tcW w:type="dxa" w:w="2016"/>
            <w:vAlign w:val="center"/>
            <w:shd w:fill="243B5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color w:val="FFFFFF"/>
                <w:sz w:val="20"/>
              </w:rPr>
              <w:t>Table</w:t>
            </w:r>
          </w:p>
        </w:tc>
        <w:tc>
          <w:tcPr>
            <w:tcW w:type="dxa" w:w="3600"/>
            <w:vAlign w:val="center"/>
            <w:shd w:fill="243B5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color w:val="FFFFFF"/>
                <w:sz w:val="20"/>
              </w:rPr>
              <w:t>Key data</w:t>
            </w:r>
          </w:p>
        </w:tc>
        <w:tc>
          <w:tcPr>
            <w:tcW w:type="dxa" w:w="4464"/>
            <w:vAlign w:val="center"/>
            <w:shd w:fill="243B5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color w:val="FFFFFF"/>
                <w:sz w:val="20"/>
              </w:rPr>
              <w:t>Relationship or rule</w:t>
            </w:r>
          </w:p>
        </w:tc>
      </w:tr>
      <w:tr>
        <w:trPr>
          <w:cantSplit/>
        </w:trPr>
        <w:tc>
          <w:tcPr>
            <w:tcW w:type="dxa" w:w="2016"/>
            <w:vAlign w:val="center"/>
            <w:shd w:fill="F1F4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users</w:t>
            </w:r>
          </w:p>
        </w:tc>
        <w:tc>
          <w:tcPr>
            <w:tcW w:type="dxa" w:w="3600"/>
            <w:vAlign w:val="center"/>
            <w:shd w:fill="F1F4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id, email, password_hash, role, active</w:t>
            </w:r>
          </w:p>
        </w:tc>
        <w:tc>
          <w:tcPr>
            <w:tcW w:type="dxa" w:w="4464"/>
            <w:vAlign w:val="center"/>
            <w:shd w:fill="F1F4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Unique email; role is RESEARCHER, REVIEWER or ADMIN.</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blueprints</w:t>
            </w:r>
          </w:p>
        </w:tc>
        <w:tc>
          <w:tcPr>
            <w:tcW w:type="dxa" w:w="360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id, owner_id, title, field, summary</w:t>
            </w:r>
          </w:p>
        </w:tc>
        <w:tc>
          <w:tcPr>
            <w:tcW w:type="dxa" w:w="446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One owner account; current research metadata.</w:t>
            </w:r>
          </w:p>
        </w:tc>
      </w:tr>
      <w:tr>
        <w:trPr>
          <w:cantSplit/>
        </w:trPr>
        <w:tc>
          <w:tcPr>
            <w:tcW w:type="dxa" w:w="2016"/>
            <w:vAlign w:val="center"/>
            <w:shd w:fill="F1F4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document_versions</w:t>
            </w:r>
          </w:p>
        </w:tc>
        <w:tc>
          <w:tcPr>
            <w:tcW w:type="dxa" w:w="3600"/>
            <w:vAlign w:val="center"/>
            <w:shd w:fill="F1F4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id, blueprint_id, version_number, sha256, stored_name, status</w:t>
            </w:r>
          </w:p>
        </w:tc>
        <w:tc>
          <w:tcPr>
            <w:tcW w:type="dxa" w:w="4464"/>
            <w:vAlign w:val="center"/>
            <w:shd w:fill="F1F4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Unique research/version pair; unique stored filename.</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review_assignments</w:t>
            </w:r>
          </w:p>
        </w:tc>
        <w:tc>
          <w:tcPr>
            <w:tcW w:type="dxa" w:w="360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id, version_id, reviewer_id, assigned_by</w:t>
            </w:r>
          </w:p>
        </w:tc>
        <w:tc>
          <w:tcPr>
            <w:tcW w:type="dxa" w:w="446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Unique version/reviewer pair; application limits assignments to two.</w:t>
            </w:r>
          </w:p>
        </w:tc>
      </w:tr>
      <w:tr>
        <w:trPr>
          <w:cantSplit/>
        </w:trPr>
        <w:tc>
          <w:tcPr>
            <w:tcW w:type="dxa" w:w="2016"/>
            <w:vAlign w:val="center"/>
            <w:shd w:fill="F1F4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review_votes</w:t>
            </w:r>
          </w:p>
        </w:tc>
        <w:tc>
          <w:tcPr>
            <w:tcW w:type="dxa" w:w="3600"/>
            <w:vAlign w:val="center"/>
            <w:shd w:fill="F1F4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id, assignment_id, decision, comments</w:t>
            </w:r>
          </w:p>
        </w:tc>
        <w:tc>
          <w:tcPr>
            <w:tcW w:type="dxa" w:w="4464"/>
            <w:vAlign w:val="center"/>
            <w:shd w:fill="F1F4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At most one vote per assignment.</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audit_logs</w:t>
            </w:r>
          </w:p>
        </w:tc>
        <w:tc>
          <w:tcPr>
            <w:tcW w:type="dxa" w:w="360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id, actor_id, action, target_type, target_id, details</w:t>
            </w:r>
          </w:p>
        </w:tc>
        <w:tc>
          <w:tcPr>
            <w:tcW w:type="dxa" w:w="446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Actor may be null; target fields describe different entity types.</w:t>
            </w:r>
          </w:p>
        </w:tc>
      </w:tr>
    </w:tbl>
    <w:p>
      <w:pPr>
        <w:spacing w:after="0"/>
      </w:pPr>
    </w:p>
    <w:p>
      <w:r>
        <w:t>The files themselves stay in private filesystem storage. The database holds filenames, byte counts, fingerprints and the metadata needed to locate and authorise each version. A SHA-256 value uses 64 hexadecimal characters. A submission timestamp comes from the configured server/database clock and is not an independently trusted timestamp.</w:t>
      </w:r>
    </w:p>
    <w:p>
      <w:pPr>
        <w:pStyle w:val="Heading2"/>
      </w:pPr>
      <w:r>
        <w:t>Why versions are separate records</w:t>
      </w:r>
    </w:p>
    <w:p>
      <w:r>
        <w:t>A new submission copies title, field and summary into document_versions. Updating the parent research metadata for a later version therefore does not rewrite an older version’s snapshot. Draft editing is blocked once the research record has submitted versions. Version access is checked separately, so an assignment to one version does not automatically expose all other versions.</w:t>
      </w:r>
    </w:p>
    <w:p>
      <w:pPr>
        <w:pStyle w:val="Heading2"/>
      </w:pPr>
      <w:r>
        <w:t>Transaction behaviour</w:t>
      </w:r>
    </w:p>
    <w:p>
      <w:r>
        <w:t>The service locks the parent record while allocating the next version number for an existing research item. Database uniqueness constraints provide additional checks. Review operations lock the version before applying decisions. File storage and SQL are not one atomic transaction: normal failures trigger cleanup, but a process crash can still leave an orphan file. Backup and recovery must cover both the database and upload directory.</w:t>
      </w:r>
    </w:p>
    <w:p>
      <w:pPr>
        <w:pStyle w:val="Heading2"/>
      </w:pPr>
      <w:r>
        <w:t>Schema maintenance</w:t>
      </w:r>
    </w:p>
    <w:p>
      <w:r>
        <w:t>src/main/resources/schema.sql supports application initialisation and sql/schema.sql supports database setup. Keep both definitions consistent. The supplied schema has no standalone receipt table, public blockchain ledger or patent-office record.</w:t>
      </w:r>
    </w:p>
    <w:p>
      <w:r>
        <w:br w:type="page"/>
      </w:r>
    </w:p>
    <w:p>
      <w:pPr>
        <w:pStyle w:val="Heading1"/>
      </w:pPr>
      <w:r>
        <w:t>4 Module implementation and security</w:t>
      </w:r>
    </w:p>
    <w:p>
      <w:pPr>
        <w:pStyle w:val="Heading2"/>
      </w:pPr>
      <w:r>
        <w:t>Authentication and permissions</w:t>
      </w:r>
    </w:p>
    <w:p>
      <w:r>
        <w:t>Registration creates a RESEARCHER account even if a request supplies another role. AuthService stores BCrypt hashes with cost 12 for registered accounts. Login rotates the session identifier and CSRF token. The session timeout is 30 minutes. Five failed attempts trigger a one-minute delay within that session; this is limited protection and can be bypassed by starting a new session. SecurityFilter reloads the active account so role or activation changes affect later requests.</w:t>
      </w:r>
    </w:p>
    <w:p>
      <w:pPr>
        <w:pStyle w:val="Heading2"/>
      </w:pPr>
      <w:r>
        <w:t>Uploads and integrity</w:t>
      </w:r>
    </w:p>
    <w:p>
      <w:r>
        <w:t>UploadStore permits nonempty files up to 10,485,760 bytes. Allowed extensions are PDF, TXT, MD, JAVA, PY, JS, C, CPP, H, JSON and CSV. It checks the PDF header or rejects NUL bytes in other accepted file types. Files use UUID-based .bin names. These checks do not provide malware scanning or full file-format validation. SHA-256 calculation streams through a fixed-size buffer [1].</w:t>
      </w:r>
    </w:p>
    <w:p>
      <w:r>
        <w:t>The verification form accepts a candidate file and compares its hash with the selected version’s recorded hash. It returns MATCH or MISMATCH and records an audit event. FileServlet separately checks version access, resolves the stored filename and streams the file. It does not recalculate the stored file’s hash before each download.</w:t>
      </w:r>
    </w:p>
    <w:p>
      <w:pPr>
        <w:pStyle w:val="Heading2"/>
      </w:pPr>
      <w:r>
        <w:t>Administration and shared code</w:t>
      </w:r>
    </w:p>
    <w:p>
      <w:r>
        <w:t>Administrators can change non-admin accounts between researcher and reviewer and update active status. The interface cannot modify admin accounts. A reviewer with unfinished assignments cannot be deactivated or moved out of that role through this operation. The audit view lists the latest 200 events. Submitted reviews hide reviewer identifiers and names from non-admin output.</w:t>
      </w:r>
    </w:p>
    <w:p>
      <w:r>
        <w:t>LedgerService, AppServlet and document.jsp contain multiple modules. Each member should edit only agreed sections, update from main before work and submit a reviewed pull request. The module READMEs identify ownership, shared dependencies, endpoints and acceptance checks.</w:t>
      </w:r>
    </w:p>
    <w:p>
      <w:r>
        <w:br w:type="page"/>
      </w:r>
    </w:p>
    <w:p>
      <w:pPr>
        <w:pStyle w:val="Heading1"/>
      </w:pPr>
      <w:r>
        <w:t>5 Verification and evidence</w:t>
      </w:r>
    </w:p>
    <w:p>
      <w:r>
        <w:t>The supplied docs/TEST-REPORT.md records 11 tests passed with zero failures, errors or skips on 6 October 2026. It names OpenJDK 17, Maven 3.9.9, embedded Tomcat 9.0.106 and H2 2.3.232. Source inspection confirms four HashingTest methods, four ReviewPolicyTest methods and three WorkflowTest methods. These counts describe the archived suite and report, not a new execution on the current GitHub branch.</w:t>
      </w:r>
    </w:p>
    <w:tbl>
      <w:tblPr>
        <w:tblW w:type="auto" w:w="0"/>
        <w:jc w:val="center"/>
        <w:tblLayout w:type="fixed"/>
        <w:tblLook w:firstColumn="1" w:firstRow="1" w:lastColumn="0" w:lastRow="0" w:noHBand="0" w:noVBand="1" w:val="04A0"/>
      </w:tblPr>
      <w:tblGrid>
        <w:gridCol w:w="1728"/>
        <w:gridCol w:w="5112"/>
        <w:gridCol w:w="3240"/>
      </w:tblGrid>
      <w:tr>
        <w:trPr>
          <w:cantSplit/>
          <w:tblHeader/>
        </w:trPr>
        <w:tc>
          <w:tcPr>
            <w:tcW w:type="dxa" w:w="1728"/>
            <w:vAlign w:val="center"/>
            <w:shd w:fill="243B5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color w:val="FFFFFF"/>
                <w:sz w:val="20"/>
              </w:rPr>
              <w:t>Test group</w:t>
            </w:r>
          </w:p>
        </w:tc>
        <w:tc>
          <w:tcPr>
            <w:tcW w:type="dxa" w:w="5112"/>
            <w:vAlign w:val="center"/>
            <w:shd w:fill="243B5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color w:val="FFFFFF"/>
                <w:sz w:val="20"/>
              </w:rPr>
              <w:t>Checks represented</w:t>
            </w:r>
          </w:p>
        </w:tc>
        <w:tc>
          <w:tcPr>
            <w:tcW w:type="dxa" w:w="3240"/>
            <w:vAlign w:val="center"/>
            <w:shd w:fill="243B5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color w:val="FFFFFF"/>
                <w:sz w:val="20"/>
              </w:rPr>
              <w:t>Evidence status</w:t>
            </w:r>
          </w:p>
        </w:tc>
      </w:tr>
      <w:tr>
        <w:trPr>
          <w:cantSplit/>
        </w:trPr>
        <w:tc>
          <w:tcPr>
            <w:tcW w:type="dxa" w:w="1728"/>
            <w:vAlign w:val="center"/>
            <w:shd w:fill="F1F4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HashingTest</w:t>
            </w:r>
          </w:p>
        </w:tc>
        <w:tc>
          <w:tcPr>
            <w:tcW w:type="dxa" w:w="5112"/>
            <w:vAlign w:val="center"/>
            <w:shd w:fill="F1F4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Known vectors, changed bytes, empty input and stream boundaries</w:t>
            </w:r>
          </w:p>
        </w:tc>
        <w:tc>
          <w:tcPr>
            <w:tcW w:type="dxa" w:w="3240"/>
            <w:vAlign w:val="center"/>
            <w:shd w:fill="F1F4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4 methods in supplied source; archive reports passing.</w:t>
            </w:r>
          </w:p>
        </w:tc>
      </w:tr>
      <w:tr>
        <w:trPr>
          <w:cantSplit/>
        </w:trPr>
        <w:tc>
          <w:tcPr>
            <w:tcW w:type="dxa" w:w="17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ReviewPolicyTest</w:t>
            </w:r>
          </w:p>
        </w:tc>
        <w:tc>
          <w:tcPr>
            <w:tcW w:type="dxa" w:w="511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One approval, two approvals, rejection priority and terminal states</w:t>
            </w:r>
          </w:p>
        </w:tc>
        <w:tc>
          <w:tcPr>
            <w:tcW w:type="dxa" w:w="32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4 methods in supplied source; archive reports passing.</w:t>
            </w:r>
          </w:p>
        </w:tc>
      </w:tr>
      <w:tr>
        <w:trPr>
          <w:cantSplit/>
        </w:trPr>
        <w:tc>
          <w:tcPr>
            <w:tcW w:type="dxa" w:w="1728"/>
            <w:vAlign w:val="center"/>
            <w:shd w:fill="F1F4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WorkflowTest</w:t>
            </w:r>
          </w:p>
        </w:tc>
        <w:tc>
          <w:tcPr>
            <w:tcW w:type="dxa" w:w="5112"/>
            <w:vAlign w:val="center"/>
            <w:shd w:fill="F1F4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HTTP/JSP flows, login, CSRF, access, submissions, votes and receipts</w:t>
            </w:r>
          </w:p>
        </w:tc>
        <w:tc>
          <w:tcPr>
            <w:tcW w:type="dxa" w:w="3240"/>
            <w:vAlign w:val="center"/>
            <w:shd w:fill="F1F4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3 methods in supplied source; archive reports passing.</w:t>
            </w:r>
          </w:p>
        </w:tc>
      </w:tr>
      <w:tr>
        <w:trPr>
          <w:cantSplit/>
        </w:trPr>
        <w:tc>
          <w:tcPr>
            <w:tcW w:type="dxa" w:w="17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MySQL deployment</w:t>
            </w:r>
          </w:p>
        </w:tc>
        <w:tc>
          <w:tcPr>
            <w:tcW w:type="dxa" w:w="511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Schema, credentials, timezone, external Tomcat and file permissions</w:t>
            </w:r>
          </w:p>
        </w:tc>
        <w:tc>
          <w:tcPr>
            <w:tcW w:type="dxa" w:w="32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Fresh test required on the college installation.</w:t>
            </w:r>
          </w:p>
        </w:tc>
      </w:tr>
      <w:tr>
        <w:trPr>
          <w:cantSplit/>
        </w:trPr>
        <w:tc>
          <w:tcPr>
            <w:tcW w:type="dxa" w:w="1728"/>
            <w:vAlign w:val="center"/>
            <w:shd w:fill="F1F4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Current team branch</w:t>
            </w:r>
          </w:p>
        </w:tc>
        <w:tc>
          <w:tcPr>
            <w:tcW w:type="dxa" w:w="5112"/>
            <w:vAlign w:val="center"/>
            <w:shd w:fill="F1F4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Merged source, dependency resolution and packaged WAR</w:t>
            </w:r>
          </w:p>
        </w:tc>
        <w:tc>
          <w:tcPr>
            <w:tcW w:type="dxa" w:w="3240"/>
            <w:vAlign w:val="center"/>
            <w:shd w:fill="F1F4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Not checked in this documentation build.</w:t>
            </w:r>
          </w:p>
        </w:tc>
      </w:tr>
    </w:tbl>
    <w:p>
      <w:pPr>
        <w:spacing w:after="0"/>
      </w:pPr>
    </w:p>
    <w:p>
      <w:pPr>
        <w:pStyle w:val="Heading2"/>
      </w:pPr>
      <w:r>
        <w:t>Reproduction procedure</w:t>
      </w:r>
    </w:p>
    <w:p>
      <w:r>
        <w:t>Record the Git commit identifier, operating system, java -version and mvn -version.</w:t>
      </w:r>
    </w:p>
    <w:p>
      <w:r>
        <w:t>Run mvn clean verify from the directory containing pom.xml. Retain target/surefire-reports and the build summary.</w:t>
      </w:r>
    </w:p>
    <w:p>
      <w:r>
        <w:t>Launch the demo and exercise an original sample, an altered sample, a two-approval review and a rejection followed by a new version.</w:t>
      </w:r>
    </w:p>
    <w:p>
      <w:r>
        <w:t>Deploy the newly built WAR to the configured MySQL and Tomcat installation and repeat the role and upload checks.</w:t>
      </w:r>
    </w:p>
    <w:p>
      <w:r>
        <w:t>No latency, throughput, user-satisfaction score, security-audit result or comparative performance improvement is claimed. The project has useful functional coverage, but those wider questions require separate experiments.</w:t>
      </w:r>
    </w:p>
    <w:p>
      <w:r>
        <w:br w:type="page"/>
      </w:r>
    </w:p>
    <w:p>
      <w:pPr>
        <w:pStyle w:val="Heading1"/>
      </w:pPr>
      <w:r>
        <w:t>6 Installation demonstration and conclusion</w:t>
      </w:r>
    </w:p>
    <w:p>
      <w:r>
        <w:t>The development baseline is Java 17 and Maven. The supplied application uses javax.servlet 4.0 and targets Tomcat 9. The local demo uses embedded Tomcat and H2 as test dependencies. For a quick demonstration, run START-DEMO.bat on Windows or START-DEMO.sh on Linux/macOS, then open http://localhost:8080/patentpulse. The first launch needs dependency downloads. Stop with Ctrl+C.</w:t>
      </w:r>
    </w:p>
    <w:p>
      <w:r>
        <w:t>For a MySQL installation, configure the database and schema using sql/, set actual operating-system environment variables using config.example.env as a reference, then build with mvn clean package. Deploy target/patentpulse.war to Tomcat. The application does not automatically load .env files. Use a private writable upload directory. Bootstrap the first administrator and remove its bootstrap credentials after successful setup.</w:t>
      </w:r>
    </w:p>
    <w:p>
      <w:pPr>
        <w:pStyle w:val="Heading2"/>
      </w:pPr>
      <w:r>
        <w:t>Demonstration sequence</w:t>
      </w:r>
    </w:p>
    <w:p>
      <w:r>
        <w:t>Log in as a researcher, save a draft and submit samples/research-v1.txt. Show its version record and compare the original and altered sample. Assign two reviewers through the administrator account, submit decisions and show the resulting status. Upload a second version, then show the retained first version, receipt and audit record. Use only the supplied synthetic demo data.</w:t>
      </w:r>
    </w:p>
    <w:p>
      <w:pPr>
        <w:pStyle w:val="Heading2"/>
      </w:pPr>
      <w:r>
        <w:t>Conclusion and future work</w:t>
      </w:r>
    </w:p>
    <w:p>
      <w:r>
        <w:t>PatentPulse combines document versions, access checks and internal review in one application. Its value is traceability inside the institution’s workflow. The next engineering priorities are fresh MySQL validation, stronger login throttling, deployment hardening, malware scanning and coordinated backup recovery. Optional signed receipts or an independent timestamp service would need their own design and validation. Automatic patentability or authorship claims would exceed the implemented system.</w:t>
      </w:r>
    </w:p>
    <w:p>
      <w:pPr>
        <w:pStyle w:val="Heading2"/>
      </w:pPr>
      <w:r>
        <w:t>References</w:t>
      </w:r>
    </w:p>
    <w:p>
      <w:r>
        <w:t>[1] NIST. Secure Hash Standard. FIPS PUB 180-4, 2015. https://doi.org/10.6028/NIST.FIPS.180-4</w:t>
      </w:r>
    </w:p>
    <w:p>
      <w:r>
        <w:t>[2] N. Provos and D. Mazières. A Future-Adaptable Password Scheme. USENIX Annual Technical Conference, 1999. https://www.usenix.org/conference/1999-usenix-annual-technical-conference/future-adaptable-password-scheme</w:t>
      </w:r>
    </w:p>
    <w:p>
      <w:r>
        <w:t>[3] OWASP Foundation. File Upload Cheat Sheet. https://cheatsheetseries.owasp.org/cheatsheets/File_Upload_Cheat_Sheet.html</w:t>
      </w:r>
    </w:p>
    <w:p>
      <w:r>
        <w:t>[4] IP India. Basics of Patents. https://ipindia.gov.in/pages/patents/learn/basics-of-patents</w:t>
      </w:r>
    </w:p>
    <w:p>
      <w:r>
        <w:t>[5] WIPO. Frequently Asked Questions on Patents. https://www.wipo.int/en/web/patents/faq_patents</w:t>
      </w:r>
    </w:p>
    <w:p>
      <w:r>
        <w:t>[6] WIPO. Patent Cooperation Treaty. https://www.wipo.int/en/web/treaties/registration/pct/index</w:t>
      </w:r>
    </w:p>
    <w:p>
      <w:r>
        <w:t>[7] PatentPulse source archive supplied by the team. Java source, schema.sql, pom.xml and docs/TEST-REPORT.md. Original test report dated 6 October 2026.</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00000"/>
      </w:rPr>
      <w:t>PatentPulse   |   Advanced Java project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PatentPulse Project Report</dc:title>
  <dc:subject/>
  <dc:creator>Mohit Sharma and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