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PatentPulse Software Requirements Specification</w:t>
      </w:r>
    </w:p>
    <w:p>
      <w:pPr>
        <w:pStyle w:val="Subtitle"/>
      </w:pPr>
      <w:r>
        <w:t>Version 1.0   12 October 2026   Implementation baseline and acceptance criteria</w:t>
      </w:r>
    </w:p>
    <w:p>
      <w:pPr>
        <w:pStyle w:val="Heading1"/>
      </w:pPr>
      <w:r>
        <w:t>1 Purpose and scope</w:t>
      </w:r>
    </w:p>
    <w:p>
      <w:r>
        <w:t>This SRS defines the functional behaviour and acceptance checks for the supplied PatentPulse prototype. It gives the team and guide a common reference for reviewing research submission, document integrity and internal review. Requirements describe the intended baseline visible in the supplied source. Meeting an acceptance criterion must be confirmed on the final deployed build.</w:t>
      </w:r>
    </w:p>
    <w:p>
      <w:r>
        <w:t>The system serves authenticated researchers, reviewers and administrators. It stores draft metadata, submitted versions, reviewer decisions and audit events. It excludes official patent filing, novelty search, plagiarism detection, public disclosure, blockchain consensus, digitally signed receipts and independent trusted timestamps.</w:t>
      </w:r>
    </w:p>
    <w:tbl>
      <w:tblPr>
        <w:tblW w:type="auto" w:w="0"/>
        <w:jc w:val="center"/>
        <w:tblLayout w:type="fixed"/>
        <w:tblLook w:firstColumn="1" w:firstRow="1" w:lastColumn="0" w:lastRow="0" w:noHBand="0" w:noVBand="1" w:val="04A0"/>
      </w:tblPr>
      <w:tblGrid>
        <w:gridCol w:w="2088"/>
        <w:gridCol w:w="7992"/>
      </w:tblGrid>
      <w:tr>
        <w:trPr>
          <w:cantSplit/>
          <w:tblHeader/>
        </w:trPr>
        <w:tc>
          <w:tcPr>
            <w:tcW w:type="dxa" w:w="2088"/>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20"/>
              </w:rPr>
              <w:t>Term</w:t>
            </w:r>
          </w:p>
        </w:tc>
        <w:tc>
          <w:tcPr>
            <w:tcW w:type="dxa" w:w="7992"/>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20"/>
              </w:rPr>
              <w:t>Meaning</w:t>
            </w:r>
          </w:p>
        </w:tc>
      </w:tr>
      <w:tr>
        <w:trPr>
          <w:cantSplit/>
        </w:trPr>
        <w:tc>
          <w:tcPr>
            <w:tcW w:type="dxa" w:w="2088"/>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Research item</w:t>
            </w:r>
          </w:p>
        </w:tc>
        <w:tc>
          <w:tcPr>
            <w:tcW w:type="dxa" w:w="7992"/>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Parent blueprints record owned by a user.</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Version</w:t>
            </w:r>
          </w:p>
        </w:tc>
        <w:tc>
          <w:tcPr>
            <w:tcW w:type="dxa" w:w="79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One submitted file and a snapshot of its metadata.</w:t>
            </w:r>
          </w:p>
        </w:tc>
      </w:tr>
      <w:tr>
        <w:trPr>
          <w:cantSplit/>
        </w:trPr>
        <w:tc>
          <w:tcPr>
            <w:tcW w:type="dxa" w:w="2088"/>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Draft</w:t>
            </w:r>
          </w:p>
        </w:tc>
        <w:tc>
          <w:tcPr>
            <w:tcW w:type="dxa" w:w="7992"/>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Research item with no submitted document_versions row.</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MATCH</w:t>
            </w:r>
          </w:p>
        </w:tc>
        <w:tc>
          <w:tcPr>
            <w:tcW w:type="dxa" w:w="79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Candidate file digest equals the selected version’s saved digest.</w:t>
            </w:r>
          </w:p>
        </w:tc>
      </w:tr>
      <w:tr>
        <w:trPr>
          <w:cantSplit/>
        </w:trPr>
        <w:tc>
          <w:tcPr>
            <w:tcW w:type="dxa" w:w="2088"/>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Internally reviewed</w:t>
            </w:r>
          </w:p>
        </w:tc>
        <w:tc>
          <w:tcPr>
            <w:tcW w:type="dxa" w:w="7992"/>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Two approvals under the application’s internal policy.</w:t>
            </w:r>
          </w:p>
        </w:tc>
      </w:tr>
    </w:tbl>
    <w:p>
      <w:pPr>
        <w:spacing w:after="0"/>
      </w:pPr>
    </w:p>
    <w:p>
      <w:pPr>
        <w:pStyle w:val="Heading2"/>
      </w:pPr>
      <w:r>
        <w:t>Operating environment</w:t>
      </w:r>
    </w:p>
    <w:p>
      <w:r>
        <w:t>Java 17, a Maven WAR build, javax.servlet 4.0 and Tomcat 9 form the runtime baseline. MySQL is the deployment database. H2 and embedded Tomcat are available for the demo and tests. A browser must support HTML forms, cookies and multipart uploads. The upload directory must be private and writable by the application service account.</w:t>
      </w:r>
    </w:p>
    <w:p>
      <w:pPr>
        <w:pStyle w:val="Heading2"/>
      </w:pPr>
      <w:r>
        <w:t>Actors and permissions</w:t>
      </w:r>
    </w:p>
    <w:p>
      <w:r>
        <w:t>Researchers own research records. Reviewers access assigned versions and submit decisions. Administrators see the review queue, assign reviewers and manage permitted user settings. The current implementation also permits any authenticated role to use personal research routes; their records remain owner-scoped. Restricting creation to the RESEARCHER role would require an additional product decision and code change.</w:t>
      </w:r>
    </w:p>
    <w:p>
      <w:r>
        <w:br w:type="page"/>
      </w:r>
    </w:p>
    <w:p>
      <w:pPr>
        <w:pStyle w:val="Heading1"/>
      </w:pPr>
      <w:r>
        <w:t>2 Account and session requirements</w:t>
      </w:r>
    </w:p>
    <w:tbl>
      <w:tblPr>
        <w:tblW w:type="auto" w:w="0"/>
        <w:jc w:val="center"/>
        <w:tblLayout w:type="fixed"/>
        <w:tblLook w:firstColumn="1" w:firstRow="1" w:lastColumn="0" w:lastRow="0" w:noHBand="0" w:noVBand="1" w:val="04A0"/>
      </w:tblPr>
      <w:tblGrid>
        <w:gridCol w:w="936"/>
        <w:gridCol w:w="9144"/>
      </w:tblGrid>
      <w:tr>
        <w:trPr>
          <w:cantSplit/>
          <w:tblHeader/>
        </w:trPr>
        <w:tc>
          <w:tcPr>
            <w:tcW w:type="dxa" w:w="936"/>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20"/>
              </w:rPr>
              <w:t>ID</w:t>
            </w:r>
          </w:p>
        </w:tc>
        <w:tc>
          <w:tcPr>
            <w:tcW w:type="dxa" w:w="9144"/>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20"/>
              </w:rPr>
              <w:t>Requirement and acceptance criterion</w:t>
            </w:r>
          </w:p>
        </w:tc>
      </w:tr>
      <w:tr>
        <w:trPr>
          <w:cantSplit/>
        </w:trPr>
        <w:tc>
          <w:tcPr>
            <w:tcW w:type="dxa" w:w="936"/>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FR01</w:t>
            </w:r>
          </w:p>
        </w:tc>
        <w:tc>
          <w:tcPr>
            <w:tcW w:type="dxa" w:w="9144"/>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Registration shall create RESEARCHER accounts. Supplying a role parameter shall not create a reviewer or admin.</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FR02</w:t>
            </w:r>
          </w:p>
        </w:tc>
        <w:tc>
          <w:tcPr>
            <w:tcW w:type="dxa" w:w="91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Registration shall accept a trimmed name of at least 2 characters and a raw length of at most 100. Email shall pass the implemented format check and be at most 190 characters.</w:t>
            </w:r>
          </w:p>
        </w:tc>
      </w:tr>
      <w:tr>
        <w:trPr>
          <w:cantSplit/>
        </w:trPr>
        <w:tc>
          <w:tcPr>
            <w:tcW w:type="dxa" w:w="936"/>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FR03</w:t>
            </w:r>
          </w:p>
        </w:tc>
        <w:tc>
          <w:tcPr>
            <w:tcW w:type="dxa" w:w="9144"/>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Passwords shall have at least 10 characters and at most 72 UTF-8 bytes. Stored registration credentials shall use BCrypt cost 12.</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FR04</w:t>
            </w:r>
          </w:p>
        </w:tc>
        <w:tc>
          <w:tcPr>
            <w:tcW w:type="dxa" w:w="91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Login shall require a valid password and an active account. Unknown email and invalid credentials shall receive a generic failure message.</w:t>
            </w:r>
          </w:p>
        </w:tc>
      </w:tr>
      <w:tr>
        <w:trPr>
          <w:cantSplit/>
        </w:trPr>
        <w:tc>
          <w:tcPr>
            <w:tcW w:type="dxa" w:w="936"/>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FR05</w:t>
            </w:r>
          </w:p>
        </w:tc>
        <w:tc>
          <w:tcPr>
            <w:tcW w:type="dxa" w:w="9144"/>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Successful login shall rotate the session ID and CSRF token. Inactive sessions shall expire after 30 minutes. POST logout shall invalidate the session.</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FR06</w:t>
            </w:r>
          </w:p>
        </w:tc>
        <w:tc>
          <w:tcPr>
            <w:tcW w:type="dxa" w:w="91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Protected requests shall refresh account status and role from the database. Anonymous /app and /file requests shall redirect to login.</w:t>
            </w:r>
          </w:p>
        </w:tc>
      </w:tr>
      <w:tr>
        <w:trPr>
          <w:cantSplit/>
        </w:trPr>
        <w:tc>
          <w:tcPr>
            <w:tcW w:type="dxa" w:w="936"/>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FR07</w:t>
            </w:r>
          </w:p>
        </w:tc>
        <w:tc>
          <w:tcPr>
            <w:tcW w:type="dxa" w:w="9144"/>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POST operations shall require the session CSRF token. Missing or invalid tokens shall prevent the requested action.</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FR08</w:t>
            </w:r>
          </w:p>
        </w:tc>
        <w:tc>
          <w:tcPr>
            <w:tcW w:type="dxa" w:w="91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Admin routes shall require ADMIN. Review routes shall require REVIEWER or ADMIN, with service checks for specific actions.</w:t>
            </w:r>
          </w:p>
        </w:tc>
      </w:tr>
    </w:tbl>
    <w:p>
      <w:pPr>
        <w:spacing w:after="0"/>
      </w:pPr>
    </w:p>
    <w:p>
      <w:r>
        <w:t>Acceptance scenarios include duplicate registration, attempted role escalation, invalid login, logout followed by a protected request, a deactivated account and a POST without the correct token. The session-based failed-login delay is implemented behaviour, not a claim of account-wide or distributed attack prevention.</w:t>
      </w:r>
    </w:p>
    <w:p>
      <w:pPr>
        <w:pStyle w:val="Heading2"/>
      </w:pPr>
      <w:r>
        <w:t>Account administration</w:t>
      </w:r>
    </w:p>
    <w:p>
      <w:r>
        <w:t>FR09: An administrator shall list user IDs, names, email addresses, roles and active status without returning password hashes to the page. Role changes shall be limited to RESEARCHER and REVIEWER for non-admin targets. Admin accounts shall reject edits through this operation. Deactivating or demoting a reviewer with unfinished active assignments shall fail with a conflict response.</w:t>
      </w:r>
    </w:p>
    <w:p>
      <w:r>
        <w:br w:type="page"/>
      </w:r>
    </w:p>
    <w:p>
      <w:pPr>
        <w:pStyle w:val="Heading1"/>
      </w:pPr>
      <w:r>
        <w:t>3 Research upload and verification requirements</w:t>
      </w:r>
    </w:p>
    <w:tbl>
      <w:tblPr>
        <w:tblW w:type="auto" w:w="0"/>
        <w:jc w:val="center"/>
        <w:tblLayout w:type="fixed"/>
        <w:tblLook w:firstColumn="1" w:firstRow="1" w:lastColumn="0" w:lastRow="0" w:noHBand="0" w:noVBand="1" w:val="04A0"/>
      </w:tblPr>
      <w:tblGrid>
        <w:gridCol w:w="936"/>
        <w:gridCol w:w="9144"/>
      </w:tblGrid>
      <w:tr>
        <w:trPr>
          <w:cantSplit/>
          <w:tblHeader/>
        </w:trPr>
        <w:tc>
          <w:tcPr>
            <w:tcW w:type="dxa" w:w="936"/>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20"/>
              </w:rPr>
              <w:t>ID</w:t>
            </w:r>
          </w:p>
        </w:tc>
        <w:tc>
          <w:tcPr>
            <w:tcW w:type="dxa" w:w="9144"/>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20"/>
              </w:rPr>
              <w:t>Requirement and acceptance criterion</w:t>
            </w:r>
          </w:p>
        </w:tc>
      </w:tr>
      <w:tr>
        <w:trPr>
          <w:cantSplit/>
        </w:trPr>
        <w:tc>
          <w:tcPr>
            <w:tcW w:type="dxa" w:w="936"/>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FR10</w:t>
            </w:r>
          </w:p>
        </w:tc>
        <w:tc>
          <w:tcPr>
            <w:tcW w:type="dxa" w:w="9144"/>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Owners shall create and edit draft metadata. An existing research item with submitted versions shall reject draft updates.</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FR11</w:t>
            </w:r>
          </w:p>
        </w:tc>
        <w:tc>
          <w:tcPr>
            <w:tcW w:type="dxa" w:w="91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Title shall have at least 3 trimmed characters and raw length at most 180. Field shall be nonblank and at most 80 characters. Summary shall have at least 20 trimmed characters and raw length at most 10000.</w:t>
            </w:r>
          </w:p>
        </w:tc>
      </w:tr>
      <w:tr>
        <w:trPr>
          <w:cantSplit/>
        </w:trPr>
        <w:tc>
          <w:tcPr>
            <w:tcW w:type="dxa" w:w="936"/>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FR12</w:t>
            </w:r>
          </w:p>
        </w:tc>
        <w:tc>
          <w:tcPr>
            <w:tcW w:type="dxa" w:w="9144"/>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Submission shall accept nonempty permitted files up to 10485760 bytes. Invalid names, extensions and failed content checks shall be rejected.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FR13</w:t>
            </w:r>
          </w:p>
        </w:tc>
        <w:tc>
          <w:tcPr>
            <w:tcW w:type="dxa" w:w="91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Storage shall use generated filenames outside public web resources. Path resolution shall remain inside the configured directory.</w:t>
            </w:r>
          </w:p>
        </w:tc>
      </w:tr>
      <w:tr>
        <w:trPr>
          <w:cantSplit/>
        </w:trPr>
        <w:tc>
          <w:tcPr>
            <w:tcW w:type="dxa" w:w="936"/>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FR14</w:t>
            </w:r>
          </w:p>
        </w:tc>
        <w:tc>
          <w:tcPr>
            <w:tcW w:type="dxa" w:w="9144"/>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Every submission shall create a numbered version with a SHA-256 hash, byte count, original filename and metadata snapshot. Older snapshots shall remain unchanged by later submissions.</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FR15</w:t>
            </w:r>
          </w:p>
        </w:tc>
        <w:tc>
          <w:tcPr>
            <w:tcW w:type="dxa" w:w="91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Owners shall search their listings by title or field and filter by draft or latest-version status.</w:t>
            </w:r>
          </w:p>
        </w:tc>
      </w:tr>
      <w:tr>
        <w:trPr>
          <w:cantSplit/>
        </w:trPr>
        <w:tc>
          <w:tcPr>
            <w:tcW w:type="dxa" w:w="936"/>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FR16</w:t>
            </w:r>
          </w:p>
        </w:tc>
        <w:tc>
          <w:tcPr>
            <w:tcW w:type="dxa" w:w="9144"/>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Version details, receipts and files shall be restricted to the owner, administrator or a reviewer assigned to that version.</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FR17</w:t>
            </w:r>
          </w:p>
        </w:tc>
        <w:tc>
          <w:tcPr>
            <w:tcW w:type="dxa" w:w="91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Verification shall hash an authorised user’s candidate file, compare it with the recorded digest and return MATCH or MISMATCH. The comparison shall create an audit event.</w:t>
            </w:r>
          </w:p>
        </w:tc>
      </w:tr>
      <w:tr>
        <w:trPr>
          <w:cantSplit/>
        </w:trPr>
        <w:tc>
          <w:tcPr>
            <w:tcW w:type="dxa" w:w="936"/>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FR18</w:t>
            </w:r>
          </w:p>
        </w:tc>
        <w:tc>
          <w:tcPr>
            <w:tcW w:type="dxa" w:w="9144"/>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Download shall serve the authorised stored file as an attachment. An invalid ID or missing stored file shall yield an appropriate error.</w:t>
            </w:r>
          </w:p>
        </w:tc>
      </w:tr>
    </w:tbl>
    <w:p>
      <w:pPr>
        <w:spacing w:after="0"/>
      </w:pPr>
    </w:p>
    <w:p>
      <w:r>
        <w:t>Permitted extensions: pdf, txt, md, java, py, js, c, cpp, h, json and csv. A PDF shall begin with %PDF-. Other permitted formats shall reject binary NUL bytes. These are basic validation rules, not complete content sanitisation. Verification and download are separate operations. Automatic pre-download rehashing is outside this baseline.</w:t>
      </w:r>
    </w:p>
    <w:p>
      <w:r>
        <w:br w:type="page"/>
      </w:r>
    </w:p>
    <w:p>
      <w:pPr>
        <w:pStyle w:val="Heading1"/>
      </w:pPr>
      <w:r>
        <w:t>4 Review and audit requirements</w:t>
      </w:r>
    </w:p>
    <w:tbl>
      <w:tblPr>
        <w:tblW w:type="auto" w:w="0"/>
        <w:jc w:val="center"/>
        <w:tblLayout w:type="fixed"/>
        <w:tblLook w:firstColumn="1" w:firstRow="1" w:lastColumn="0" w:lastRow="0" w:noHBand="0" w:noVBand="1" w:val="04A0"/>
      </w:tblPr>
      <w:tblGrid>
        <w:gridCol w:w="936"/>
        <w:gridCol w:w="9144"/>
      </w:tblGrid>
      <w:tr>
        <w:trPr>
          <w:cantSplit/>
          <w:tblHeader/>
        </w:trPr>
        <w:tc>
          <w:tcPr>
            <w:tcW w:type="dxa" w:w="936"/>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20"/>
              </w:rPr>
              <w:t>ID</w:t>
            </w:r>
          </w:p>
        </w:tc>
        <w:tc>
          <w:tcPr>
            <w:tcW w:type="dxa" w:w="9144"/>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20"/>
              </w:rPr>
              <w:t>Requirement and acceptance criterion</w:t>
            </w:r>
          </w:p>
        </w:tc>
      </w:tr>
      <w:tr>
        <w:trPr>
          <w:cantSplit/>
        </w:trPr>
        <w:tc>
          <w:tcPr>
            <w:tcW w:type="dxa" w:w="936"/>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FR19</w:t>
            </w:r>
          </w:p>
        </w:tc>
        <w:tc>
          <w:tcPr>
            <w:tcW w:type="dxa" w:w="9144"/>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An administrator shall assign at most two distinct active reviewers to a nonterminal version. Self-assignment by the author and duplicate assignments shall be rejected.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FR20</w:t>
            </w:r>
          </w:p>
        </w:tc>
        <w:tc>
          <w:tcPr>
            <w:tcW w:type="dxa" w:w="91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The first assignment shall put the version into IN_REVIEW. An assigned reviewer shall see the version in their review queue.</w:t>
            </w:r>
          </w:p>
        </w:tc>
      </w:tr>
      <w:tr>
        <w:trPr>
          <w:cantSplit/>
        </w:trPr>
        <w:tc>
          <w:tcPr>
            <w:tcW w:type="dxa" w:w="936"/>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FR21</w:t>
            </w:r>
          </w:p>
        </w:tc>
        <w:tc>
          <w:tcPr>
            <w:tcW w:type="dxa" w:w="9144"/>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An assigned reviewer shall submit one APPROVE or REJECT decision with comments of at least 10 trimmed characters and raw length at most 3000.</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FR22</w:t>
            </w:r>
          </w:p>
        </w:tc>
        <w:tc>
          <w:tcPr>
            <w:tcW w:type="dxa" w:w="91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Any rejection shall yield NEEDS_REVISION. Two approvals shall yield INTERNALLY_REVIEWED. One approval shall leave the version IN_REVIEW.</w:t>
            </w:r>
          </w:p>
        </w:tc>
      </w:tr>
      <w:tr>
        <w:trPr>
          <w:cantSplit/>
        </w:trPr>
        <w:tc>
          <w:tcPr>
            <w:tcW w:type="dxa" w:w="936"/>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FR23</w:t>
            </w:r>
          </w:p>
        </w:tc>
        <w:tc>
          <w:tcPr>
            <w:tcW w:type="dxa" w:w="9144"/>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Terminal versions shall reject further votes and assignments. Revised work shall create a separate version with separate assignments.</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FR24</w:t>
            </w:r>
          </w:p>
        </w:tc>
        <w:tc>
          <w:tcPr>
            <w:tcW w:type="dxa" w:w="91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The review response shall hide reviewer names and IDs from non-admin viewers.</w:t>
            </w:r>
          </w:p>
        </w:tc>
      </w:tr>
      <w:tr>
        <w:trPr>
          <w:cantSplit/>
        </w:trPr>
        <w:tc>
          <w:tcPr>
            <w:tcW w:type="dxa" w:w="936"/>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FR25</w:t>
            </w:r>
          </w:p>
        </w:tc>
        <w:tc>
          <w:tcPr>
            <w:tcW w:type="dxa" w:w="9144"/>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The application shall record relevant state-changing actions and verification comparisons in audit_logs. Only admins shall view the latest 200 events.</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FR26</w:t>
            </w:r>
          </w:p>
        </w:tc>
        <w:tc>
          <w:tcPr>
            <w:tcW w:type="dxa" w:w="91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An authorised user shall view a printable receipt derived from the selected version. The receipt shall not imply a digital signature or patent-office approval.</w:t>
            </w:r>
          </w:p>
        </w:tc>
      </w:tr>
    </w:tbl>
    <w:p>
      <w:pPr>
        <w:spacing w:after="0"/>
      </w:pPr>
    </w:p>
    <w:p>
      <w:pPr>
        <w:pStyle w:val="Heading2"/>
      </w:pPr>
      <w:r>
        <w:t>Review state rules</w:t>
      </w:r>
    </w:p>
    <w:p>
      <w:r>
        <w:t>A newly submitted version begins as SUBMITTED. Assignment makes it IN_REVIEW. An approval can leave it IN_REVIEW or complete it when two approvals exist. A rejection closes it as NEEDS_REVISION. A terminal version remains terminal even if another reviewer has not voted. A new version starts its own lifecycle.</w:t>
      </w:r>
    </w:p>
    <w:p>
      <w:pPr>
        <w:pStyle w:val="Heading2"/>
      </w:pPr>
      <w:r>
        <w:t>Integrity and persistence rules</w:t>
      </w:r>
    </w:p>
    <w:p>
      <w:r>
        <w:t>A version/reviewer assignment and assignment/vote relationship shall be unique in the database. Business operations that combine state changes and audit writes shall run inside the Database transaction helper. On failed submission persistence, the controller shall attempt file cleanup. Crash recovery across SQL and filesystem state is an operational requirement for deployment and needs separate validation.</w:t>
      </w:r>
    </w:p>
    <w:p>
      <w:r>
        <w:br w:type="page"/>
      </w:r>
    </w:p>
    <w:p>
      <w:pPr>
        <w:pStyle w:val="Heading1"/>
      </w:pPr>
      <w:r>
        <w:t>5 Interfaces data and nonfunctional requirements</w:t>
      </w:r>
    </w:p>
    <w:tbl>
      <w:tblPr>
        <w:tblW w:type="auto" w:w="0"/>
        <w:jc w:val="center"/>
        <w:tblLayout w:type="fixed"/>
        <w:tblLook w:firstColumn="1" w:firstRow="1" w:lastColumn="0" w:lastRow="0" w:noHBand="0" w:noVBand="1" w:val="04A0"/>
      </w:tblPr>
      <w:tblGrid>
        <w:gridCol w:w="1512"/>
        <w:gridCol w:w="4968"/>
        <w:gridCol w:w="3600"/>
      </w:tblGrid>
      <w:tr>
        <w:trPr>
          <w:cantSplit/>
          <w:tblHeader/>
        </w:trPr>
        <w:tc>
          <w:tcPr>
            <w:tcW w:type="dxa" w:w="1512"/>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20"/>
              </w:rPr>
              <w:t>Interface</w:t>
            </w:r>
          </w:p>
        </w:tc>
        <w:tc>
          <w:tcPr>
            <w:tcW w:type="dxa" w:w="4968"/>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20"/>
              </w:rPr>
              <w:t>Route or resource</w:t>
            </w:r>
          </w:p>
        </w:tc>
        <w:tc>
          <w:tcPr>
            <w:tcW w:type="dxa" w:w="3600"/>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20"/>
              </w:rPr>
              <w:t>Inputs or output</w:t>
            </w:r>
          </w:p>
        </w:tc>
      </w:tr>
      <w:tr>
        <w:trPr>
          <w:cantSplit/>
        </w:trPr>
        <w:tc>
          <w:tcPr>
            <w:tcW w:type="dxa" w:w="1512"/>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Authentication</w:t>
            </w:r>
          </w:p>
        </w:tc>
        <w:tc>
          <w:tcPr>
            <w:tcW w:type="dxa" w:w="4968"/>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/login, /register, /logout</w:t>
            </w:r>
          </w:p>
        </w:tc>
        <w:tc>
          <w:tcPr>
            <w:tcW w:type="dxa" w:w="3600"/>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Forms, credentials and session changes.</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Research</w:t>
            </w:r>
          </w:p>
        </w:tc>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/app/dashboard, /app/new, /app/draft, /app/submit</w:t>
            </w:r>
          </w:p>
        </w:tc>
        <w:tc>
          <w:tcPr>
            <w:tcW w:type="dxa" w:w="36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Search, metadata and multipart document upload.</w:t>
            </w:r>
          </w:p>
        </w:tc>
      </w:tr>
      <w:tr>
        <w:trPr>
          <w:cantSplit/>
        </w:trPr>
        <w:tc>
          <w:tcPr>
            <w:tcW w:type="dxa" w:w="1512"/>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Version</w:t>
            </w:r>
          </w:p>
        </w:tc>
        <w:tc>
          <w:tcPr>
            <w:tcW w:type="dxa" w:w="4968"/>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/app/document, /app/receipt, /app/verify, /file</w:t>
            </w:r>
          </w:p>
        </w:tc>
        <w:tc>
          <w:tcPr>
            <w:tcW w:type="dxa" w:w="3600"/>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Version ID, comparison file or attachment.</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Review</w:t>
            </w:r>
          </w:p>
        </w:tc>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/app/review, /app/admin/queue, /app/admin/assign, /app/review/vote</w:t>
            </w:r>
          </w:p>
        </w:tc>
        <w:tc>
          <w:tcPr>
            <w:tcW w:type="dxa" w:w="36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Queue, reviewer ID, decision and comments.</w:t>
            </w:r>
          </w:p>
        </w:tc>
      </w:tr>
      <w:tr>
        <w:trPr>
          <w:cantSplit/>
        </w:trPr>
        <w:tc>
          <w:tcPr>
            <w:tcW w:type="dxa" w:w="1512"/>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Administration</w:t>
            </w:r>
          </w:p>
        </w:tc>
        <w:tc>
          <w:tcPr>
            <w:tcW w:type="dxa" w:w="4968"/>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/app/admin/users, /app/admin/user, /app/admin/audit</w:t>
            </w:r>
          </w:p>
        </w:tc>
        <w:tc>
          <w:tcPr>
            <w:tcW w:type="dxa" w:w="3600"/>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User settings and audit output.</w:t>
            </w:r>
          </w:p>
        </w:tc>
      </w:tr>
    </w:tbl>
    <w:p>
      <w:pPr>
        <w:spacing w:after="0"/>
      </w:pPr>
    </w:p>
    <w:p>
      <w:r>
        <w:t>Persistent entities are users, blueprints, document_versions, review_assignments, review_votes and audit_logs. IDs are BIGINT keys. Digests use CHAR(64); stored filenames are unique. Decisions are APPROVE or REJECT. Valid version states are SUBMITTED, IN_REVIEW, INTERNALLY_REVIEWED and NEEDS_REVISION. Receipts have no separate persistence entity.</w:t>
      </w:r>
    </w:p>
    <w:tbl>
      <w:tblPr>
        <w:tblW w:type="auto" w:w="0"/>
        <w:jc w:val="center"/>
        <w:tblLayout w:type="fixed"/>
        <w:tblLook w:firstColumn="1" w:firstRow="1" w:lastColumn="0" w:lastRow="0" w:noHBand="0" w:noVBand="1" w:val="04A0"/>
      </w:tblPr>
      <w:tblGrid>
        <w:gridCol w:w="936"/>
        <w:gridCol w:w="5328"/>
        <w:gridCol w:w="3816"/>
      </w:tblGrid>
      <w:tr>
        <w:trPr>
          <w:cantSplit/>
          <w:tblHeader/>
        </w:trPr>
        <w:tc>
          <w:tcPr>
            <w:tcW w:type="dxa" w:w="936"/>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20"/>
              </w:rPr>
              <w:t>ID</w:t>
            </w:r>
          </w:p>
        </w:tc>
        <w:tc>
          <w:tcPr>
            <w:tcW w:type="dxa" w:w="5328"/>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20"/>
              </w:rPr>
              <w:t>Nonfunctional requirement</w:t>
            </w:r>
          </w:p>
        </w:tc>
        <w:tc>
          <w:tcPr>
            <w:tcW w:type="dxa" w:w="3816"/>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20"/>
              </w:rPr>
              <w:t>Acceptance approach</w:t>
            </w:r>
          </w:p>
        </w:tc>
      </w:tr>
      <w:tr>
        <w:trPr>
          <w:cantSplit/>
        </w:trPr>
        <w:tc>
          <w:tcPr>
            <w:tcW w:type="dxa" w:w="936"/>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NFR01</w:t>
            </w:r>
          </w:p>
        </w:tc>
        <w:tc>
          <w:tcPr>
            <w:tcW w:type="dxa" w:w="5328"/>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Use parameterised SQL and escape untrusted HTML output.</w:t>
            </w:r>
          </w:p>
        </w:tc>
        <w:tc>
          <w:tcPr>
            <w:tcW w:type="dxa" w:w="3816"/>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Review query binding and displayed special-character input.</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NFR02</w:t>
            </w:r>
          </w:p>
        </w:tc>
        <w:tc>
          <w:tcPr>
            <w:tcW w:type="dxa" w:w="53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Stream file processing with bounded buffers.</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Inspect implementation and exercise the configured maximum upload.</w:t>
            </w:r>
          </w:p>
        </w:tc>
      </w:tr>
      <w:tr>
        <w:trPr>
          <w:cantSplit/>
        </w:trPr>
        <w:tc>
          <w:tcPr>
            <w:tcW w:type="dxa" w:w="936"/>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NFR03</w:t>
            </w:r>
          </w:p>
        </w:tc>
        <w:tc>
          <w:tcPr>
            <w:tcW w:type="dxa" w:w="5328"/>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Give clear validation and access errors without exposing credentials.</w:t>
            </w:r>
          </w:p>
        </w:tc>
        <w:tc>
          <w:tcPr>
            <w:tcW w:type="dxa" w:w="3816"/>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Exercise invalid requests and inspect responses.</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NFR04</w:t>
            </w:r>
          </w:p>
        </w:tc>
        <w:tc>
          <w:tcPr>
            <w:tcW w:type="dxa" w:w="53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Support a readable desktop and mobile interface.</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Inspect the main workflow at desktop and narrow viewport widths.</w:t>
            </w:r>
          </w:p>
        </w:tc>
      </w:tr>
      <w:tr>
        <w:trPr>
          <w:cantSplit/>
        </w:trPr>
        <w:tc>
          <w:tcPr>
            <w:tcW w:type="dxa" w:w="936"/>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NFR05</w:t>
            </w:r>
          </w:p>
        </w:tc>
        <w:tc>
          <w:tcPr>
            <w:tcW w:type="dxa" w:w="5328"/>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Maintain source separation and reproducible Maven builds.</w:t>
            </w:r>
          </w:p>
        </w:tc>
        <w:tc>
          <w:tcPr>
            <w:tcW w:type="dxa" w:w="3816"/>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Build a clean checkout using recorded runtime versions.</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NFR06</w:t>
            </w:r>
          </w:p>
        </w:tc>
        <w:tc>
          <w:tcPr>
            <w:tcW w:type="dxa" w:w="53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Coordinate database and upload backups.</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Define and execute a restore exercise before real use.</w:t>
            </w:r>
          </w:p>
        </w:tc>
      </w:tr>
    </w:tbl>
    <w:p>
      <w:pPr>
        <w:spacing w:after="0"/>
      </w:pPr>
    </w:p>
    <w:p>
      <w:r>
        <w:t>No measured response-time, concurrency or availability target is asserted. Agree on a workload and thresholds before load testing. TLS, secure-cookie settings, secrets management and infrastructure hardening require deployment configuration and verification.</w:t>
      </w:r>
    </w:p>
    <w:p>
      <w:r>
        <w:br w:type="page"/>
      </w:r>
    </w:p>
    <w:p>
      <w:pPr>
        <w:pStyle w:val="Heading1"/>
      </w:pPr>
      <w:r>
        <w:t>6 Acceptance traceability and release readiness</w:t>
      </w:r>
    </w:p>
    <w:tbl>
      <w:tblPr>
        <w:tblW w:type="auto" w:w="0"/>
        <w:jc w:val="center"/>
        <w:tblLayout w:type="fixed"/>
        <w:tblLook w:firstColumn="1" w:firstRow="1" w:lastColumn="0" w:lastRow="0" w:noHBand="0" w:noVBand="1" w:val="04A0"/>
      </w:tblPr>
      <w:tblGrid>
        <w:gridCol w:w="1656"/>
        <w:gridCol w:w="4536"/>
        <w:gridCol w:w="3888"/>
      </w:tblGrid>
      <w:tr>
        <w:trPr>
          <w:cantSplit/>
          <w:tblHeader/>
        </w:trPr>
        <w:tc>
          <w:tcPr>
            <w:tcW w:type="dxa" w:w="1656"/>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20"/>
              </w:rPr>
              <w:t>Requirement group</w:t>
            </w:r>
          </w:p>
        </w:tc>
        <w:tc>
          <w:tcPr>
            <w:tcW w:type="dxa" w:w="4536"/>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20"/>
              </w:rPr>
              <w:t>Implementation</w:t>
            </w:r>
          </w:p>
        </w:tc>
        <w:tc>
          <w:tcPr>
            <w:tcW w:type="dxa" w:w="3888"/>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20"/>
              </w:rPr>
              <w:t>Verification source</w:t>
            </w:r>
          </w:p>
        </w:tc>
      </w:tr>
      <w:tr>
        <w:trPr>
          <w:cantSplit/>
        </w:trPr>
        <w:tc>
          <w:tcPr>
            <w:tcW w:type="dxa" w:w="1656"/>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FR01–FR08</w:t>
            </w:r>
          </w:p>
        </w:tc>
        <w:tc>
          <w:tcPr>
            <w:tcW w:type="dxa" w:w="4536"/>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AuthServlet, AuthService, SecurityFilter, User, auth.jsp, csrf.jspf</w:t>
            </w:r>
          </w:p>
        </w:tc>
        <w:tc>
          <w:tcPr>
            <w:tcW w:type="dxa" w:w="3888"/>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WorkflowTest and focused manual session checks.</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FR09</w:t>
            </w:r>
          </w:p>
        </w:tc>
        <w:tc>
          <w:tcPr>
            <w:tcW w:type="dxa" w:w="45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LedgerService.changeUser and users.jsp</w:t>
            </w:r>
          </w:p>
        </w:tc>
        <w:tc>
          <w:tcPr>
            <w:tcW w:type="dxa" w:w="38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WorkflowTest and unfinished-assignment cases.</w:t>
            </w:r>
          </w:p>
        </w:tc>
      </w:tr>
      <w:tr>
        <w:trPr>
          <w:cantSplit/>
        </w:trPr>
        <w:tc>
          <w:tcPr>
            <w:tcW w:type="dxa" w:w="1656"/>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FR10–FR15</w:t>
            </w:r>
          </w:p>
        </w:tc>
        <w:tc>
          <w:tcPr>
            <w:tcW w:type="dxa" w:w="4536"/>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UploadStore, LedgerService, AppServlet, editor.jsp, dashboard.jsp</w:t>
            </w:r>
          </w:p>
        </w:tc>
        <w:tc>
          <w:tcPr>
            <w:tcW w:type="dxa" w:w="3888"/>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WorkflowTest plus upload boundary checks.</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FR16–FR18</w:t>
            </w:r>
          </w:p>
        </w:tc>
        <w:tc>
          <w:tcPr>
            <w:tcW w:type="dxa" w:w="45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LedgerService.version/verify, Hashing, FileServlet</w:t>
            </w:r>
          </w:p>
        </w:tc>
        <w:tc>
          <w:tcPr>
            <w:tcW w:type="dxa" w:w="38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HashingTest and WorkflowTest.</w:t>
            </w:r>
          </w:p>
        </w:tc>
      </w:tr>
      <w:tr>
        <w:trPr>
          <w:cantSplit/>
        </w:trPr>
        <w:tc>
          <w:tcPr>
            <w:tcW w:type="dxa" w:w="1656"/>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FR19–FR24</w:t>
            </w:r>
          </w:p>
        </w:tc>
        <w:tc>
          <w:tcPr>
            <w:tcW w:type="dxa" w:w="4536"/>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ReviewPolicy, LedgerService.assign/vote, queue.jsp, document.jsp</w:t>
            </w:r>
          </w:p>
        </w:tc>
        <w:tc>
          <w:tcPr>
            <w:tcW w:type="dxa" w:w="3888"/>
            <w:vAlign w:val="center"/>
            <w:shd w:fill="F1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ReviewPolicyTest and WorkflowTest.</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FR25–FR26</w:t>
            </w:r>
          </w:p>
        </w:tc>
        <w:tc>
          <w:tcPr>
            <w:tcW w:type="dxa" w:w="45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Database.audit, LedgerService.audit, audit.jsp, receipt.jsp</w:t>
            </w:r>
          </w:p>
        </w:tc>
        <w:tc>
          <w:tcPr>
            <w:tcW w:type="dxa" w:w="38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20"/>
              </w:rPr>
              <w:t>WorkflowTest and manual receipt inspection.</w:t>
            </w:r>
          </w:p>
        </w:tc>
      </w:tr>
    </w:tbl>
    <w:p>
      <w:pPr>
        <w:spacing w:after="0"/>
      </w:pPr>
    </w:p>
    <w:p>
      <w:pPr>
        <w:pStyle w:val="Heading2"/>
      </w:pPr>
      <w:r>
        <w:t>Required acceptance scenarios</w:t>
      </w:r>
    </w:p>
    <w:p>
      <w:r>
        <w:t>Use synthetic accounts to verify valid registration, duplicate email rejection, missing CSRF rejection, owner-only draft editing, rejected oversized uploads, separate version history, original-file MATCH, altered-file MISMATCH, blocked unauthorised downloads, duplicate reviewer rejection, self-review rejection, two-approval completion, rejection closure and protected administration. Record expected and observed outcomes separately.</w:t>
      </w:r>
    </w:p>
    <w:p>
      <w:pPr>
        <w:pStyle w:val="Heading2"/>
      </w:pPr>
      <w:r>
        <w:t>Evidence status</w:t>
      </w:r>
    </w:p>
    <w:p>
      <w:r>
        <w:t>The source archive contains 11 test methods and an earlier passing test report. The final team repository has not been built as part of this document task. A new acceptance record must identify the tested commit, commands, environment and observed results. The supplied historical daily and weekly sheets are drafts and do not satisfy this evidence requirement.</w:t>
      </w:r>
    </w:p>
    <w:p>
      <w:pPr>
        <w:pStyle w:val="Heading2"/>
      </w:pPr>
      <w:r>
        <w:t>Open decisions</w:t>
      </w:r>
    </w:p>
    <w:p>
      <w:r>
        <w:t>The guide and team must confirm college formatting, final author names and roll numbers, the target MySQL installation, backup ownership and whether personal research creation should be limited to the RESEARCHER role. Additional features such as pre-download integrity checks, signed receipts or global login throttling require change requests and tests.</w:t>
      </w:r>
    </w:p>
    <w:p>
      <w:pPr>
        <w:pStyle w:val="Heading2"/>
      </w:pPr>
      <w:r>
        <w:t>Sources</w:t>
      </w:r>
    </w:p>
    <w:p>
      <w:r>
        <w:t>Baseline: supplied pom.xml, web.xml, Java services and controllers, schema.sql and docs/TEST-REPORT.md. Security and patent background references are listed in the accompanying project report and research-paper draft.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PatentPulse   |   Advanced Java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PatentPulse Software Requirements Specification</dc:title>
  <dc:subject/>
  <dc:creator>Mohit Sharma and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