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0B1F3A"/>
          <w:sz w:val="52"/>
          <w:szCs w:val="52"/>
        </w:rPr>
        <w:t xml:space="preserve">REAL-TIME LEADERBOARD</w:t>
      </w:r>
    </w:p>
    <w:p>
      <w:pPr>
        <w:spacing w:after="0" w:before="120"/>
        <w:jc w:val="center"/>
      </w:pPr>
      <w:r>
        <w:rPr>
          <w:b/>
          <w:bCs/>
          <w:color w:val="0B1F3A"/>
          <w:sz w:val="44"/>
          <w:szCs w:val="44"/>
        </w:rPr>
        <w:t xml:space="preserve">&amp; ANALYTICS</w:t>
      </w:r>
    </w:p>
    <w:p>
      <w:pPr>
        <w:spacing w:after="0" w:before="140"/>
        <w:jc w:val="center"/>
      </w:pPr>
      <w:r>
        <w:rPr>
          <w:i/>
          <w:iCs/>
          <w:color w:val="1F6FEB"/>
          <w:sz w:val="23"/>
          <w:szCs w:val="23"/>
        </w:rPr>
        <w:t xml:space="preserve">Streaming Live Scores Without Lying About Them</w:t>
      </w:r>
    </w:p>
    <w:p>
      <w:pPr>
        <w:spacing w:after="0" w:before="80"/>
        <w:jc w:val="center"/>
      </w:pPr>
      <w:r>
        <w:rPr>
          <w:i/>
          <w:iCs/>
          <w:color w:val="555555"/>
          <w:sz w:val="20"/>
          <w:szCs w:val="20"/>
        </w:rPr>
        <w:t xml:space="preserve">Track 3 build document — consumes the frozen Telemetry Contract</w:t>
      </w:r>
    </w:p>
    <w:p>
      <w:pPr>
        <w:pBdr>
          <w:top w:val="single" w:color="1F6FEB" w:sz="6" w:space="8"/>
        </w:pBdr>
        <w:spacing w:after="0" w:before="600"/>
        <w:jc w:val="center"/>
      </w:pPr>
    </w:p>
    <w:p>
      <w:pPr>
        <w:spacing w:after="0" w:before="440"/>
        <w:jc w:val="center"/>
      </w:pPr>
      <w:r>
        <w:rPr>
          <w:i/>
          <w:iCs/>
          <w:color w:val="555555"/>
          <w:sz w:val="22"/>
          <w:szCs w:val="22"/>
        </w:rPr>
        <w:t xml:space="preserve">IICPC Summer Hackathon 2026 — Distributed Benchmarking &amp; Hosting Platform</w:t>
      </w:r>
    </w:p>
    <w:p>
      <w:pPr>
        <w:spacing w:after="0" w:before="180"/>
        <w:jc w:val="center"/>
      </w:pPr>
      <w:r>
        <w:rPr>
          <w:color w:val="777777"/>
          <w:sz w:val="20"/>
          <w:szCs w:val="20"/>
        </w:rPr>
        <w:t xml:space="preserve">Engineering Design Document · Component 4 (Real-Time Leaderboard &amp; Analytics)</w:t>
      </w:r>
    </w:p>
    <w:p>
      <w:pPr>
        <w:spacing w:after="0" w:before="520"/>
        <w:jc w:val="center"/>
      </w:pPr>
      <w:r>
        <w:rPr>
          <w:b/>
          <w:bCs/>
          <w:color w:val="1D6F42"/>
          <w:sz w:val="19"/>
          <w:szCs w:val="19"/>
        </w:rPr>
        <w:t xml:space="preserve">Build-order rank: parallel from day 1 — builds against mocked data, never blocked</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Scope, Dependency &amp; Why This Track Can Start Immediately</w:t>
      </w:r>
    </w:p>
    <w:p>
      <w:pPr>
        <w:spacing w:after="120" w:line="300"/>
      </w:pPr>
      <w:r>
        <w:t xml:space="preserve">This document owns Track 3: the frontend that streams live metrics from ongoing stress tests and ranks contestants dynamically on the composite score. It consumes the frozen Telemetry Contract and Scoring Definition from the Interface Contract document — it defines neither. Its single defining constraint is also its single largest risk: the leaderboard must present CO-corrected, additively-merged latency without re-bucketing or re-averaging it, because doing so silently destroys the statistical correction the entire measurement chain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6F42" w:sz="18"/>
              <w:bottom w:val="single" w:color="CCCCCC" w:sz="1"/>
              <w:right w:val="single" w:color="CCCCCC" w:sz="1"/>
            </w:tcBorders>
            <w:shd w:fill="EEF6F0" w:val="clear"/>
            <w:tcMar>
              <w:top w:type="dxa" w:w="130"/>
              <w:left w:type="dxa" w:w="200"/>
              <w:bottom w:type="dxa" w:w="130"/>
              <w:right w:type="dxa" w:w="160"/>
            </w:tcMar>
          </w:tcPr>
          <w:p>
            <w:pPr>
              <w:spacing w:after="60"/>
            </w:pPr>
            <w:r>
              <w:rPr>
                <w:b/>
                <w:bCs/>
                <w:color w:val="1D6F42"/>
                <w:sz w:val="21"/>
                <w:szCs w:val="21"/>
              </w:rPr>
              <w:t xml:space="preserve">Why Track 3 is the one track that is never blocked</w:t>
            </w:r>
          </w:p>
          <w:p>
            <w:pPr>
              <w:spacing w:after="40" w:line="290"/>
            </w:pPr>
            <w:r>
              <w:t xml:space="preserve">The leaderboard reads VictoriaMetrics and the additive HDR — stable, contract-defined interfaces. It does not need the bots, the sandbox, or real contestant data to begin. From day 1 it builds against </w:t>
            </w:r>
            <w:r>
              <w:rPr>
                <w:i/>
                <w:iCs/>
              </w:rPr>
              <w:t xml:space="preserve">mocked</w:t>
            </w:r>
            <w:r>
              <w:t xml:space="preserve"> VictoriaMetrics series and synthetic HDR blobs that conform to the contract. This is the parallelism the decoupled architecture exists to enable: T3 moves fastest early precisely because it is interface-bound, not data-bound. The moment real data flows, mocked sources are swapped for live ones with no UI change.</w:t>
            </w:r>
          </w:p>
        </w:tc>
      </w:tr>
    </w:tbl>
    <w:p>
      <w:r>
        <w:br w:type="page"/>
      </w:r>
    </w:p>
    <w:p>
      <w:pPr>
        <w:pStyle w:val="Heading1"/>
      </w:pPr>
      <w:r>
        <w:t xml:space="preserve">1. The Cardinal Rule: Do Not Recompute Percentiles</w:t>
      </w:r>
    </w:p>
    <w:p>
      <w:pPr>
        <w:spacing w:after="120" w:line="300"/>
      </w:pPr>
      <w:r>
        <w:t xml:space="preserve">Every other design choice in this document is downstream of one rule. The bot records latency with HdrHistogram’s Coordinated-Omission correction; histograms are merged additively up the hierarchy; the contract exposes derived percentiles as gauges. The leaderboard’s job is to display and rank those numbers — not to regenerate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Operation</w:t>
            </w:r>
          </w:p>
        </w:tc>
        <w:tc>
          <w:tcPr>
            <w:tcW w:type="dxa" w:w="318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Allowed?</w:t>
            </w:r>
          </w:p>
        </w:tc>
        <w:tc>
          <w:tcPr>
            <w:tcW w:type="dxa" w:w="318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Why</w:t>
            </w:r>
          </w:p>
        </w:tc>
      </w:tr>
      <w:tr>
        <w:trPr>
          <w:tblHeader w:val="false"/>
        </w:trPr>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Read derived p99 gauge from VictoriaMetrics</w:t>
            </w:r>
          </w:p>
        </w:tc>
        <w:tc>
          <w:tcPr>
            <w:tcW w:type="dxa" w:w="31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YES</w:t>
            </w:r>
          </w:p>
        </w:tc>
        <w:tc>
          <w:tcPr>
            <w:tcW w:type="dxa" w:w="31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Already CO-corrected and additively merged per the contract</w:t>
            </w:r>
          </w:p>
        </w:tc>
      </w:tr>
      <w:tr>
        <w:trPr>
          <w:tblHeader w:val="false"/>
        </w:trPr>
        <w:tc>
          <w:tcPr>
            <w:tcW w:type="dxa" w:w="30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Sum/merge two additive HDR blobs</w:t>
            </w:r>
          </w:p>
        </w:tc>
        <w:tc>
          <w:tcPr>
            <w:tcW w:type="dxa" w:w="31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YES</w:t>
            </w:r>
          </w:p>
        </w:tc>
        <w:tc>
          <w:tcPr>
            <w:tcW w:type="dxa" w:w="31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HDR is additive by construction — lossless</w:t>
            </w:r>
          </w:p>
        </w:tc>
      </w:tr>
      <w:tr>
        <w:trPr>
          <w:tblHeader w:val="false"/>
        </w:trPr>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Average per-bot p99 values</w:t>
            </w:r>
          </w:p>
        </w:tc>
        <w:tc>
          <w:tcPr>
            <w:tcW w:type="dxa" w:w="31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NO</w:t>
            </w:r>
          </w:p>
        </w:tc>
        <w:tc>
          <w:tcPr>
            <w:tcW w:type="dxa" w:w="31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Mean of percentiles is mathematically meaningless; destroys the tail</w:t>
            </w:r>
          </w:p>
        </w:tc>
      </w:tr>
      <w:tr>
        <w:trPr>
          <w:tblHeader w:val="false"/>
        </w:trPr>
        <w:tc>
          <w:tcPr>
            <w:tcW w:type="dxa" w:w="30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Re-bucket raw samples into UI buckets</w:t>
            </w:r>
          </w:p>
        </w:tc>
        <w:tc>
          <w:tcPr>
            <w:tcW w:type="dxa" w:w="31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NO</w:t>
            </w:r>
          </w:p>
        </w:tc>
        <w:tc>
          <w:tcPr>
            <w:tcW w:type="dxa" w:w="31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Discards CO correction; reintroduces the exact bug the platform exists to avoid</w:t>
            </w:r>
          </w:p>
        </w:tc>
      </w:tr>
      <w:tr>
        <w:trPr>
          <w:tblHeader w:val="false"/>
        </w:trPr>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Interpolate a percentile from coarse buckets</w:t>
            </w:r>
          </w:p>
        </w:tc>
        <w:tc>
          <w:tcPr>
            <w:tcW w:type="dxa" w:w="31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NO</w:t>
            </w:r>
          </w:p>
        </w:tc>
        <w:tc>
          <w:tcPr>
            <w:tcW w:type="dxa" w:w="31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This is the Prometheus histogram_quantile error the brief rejects</w:t>
            </w:r>
          </w:p>
        </w:tc>
      </w:tr>
      <w:tr>
        <w:trPr>
          <w:tblHeader w:val="false"/>
        </w:trPr>
        <w:tc>
          <w:tcPr>
            <w:tcW w:type="dxa" w:w="30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Recompute score from re-aggregated latency</w:t>
            </w:r>
          </w:p>
        </w:tc>
        <w:tc>
          <w:tcPr>
            <w:tcW w:type="dxa" w:w="31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NO</w:t>
            </w:r>
          </w:p>
        </w:tc>
        <w:tc>
          <w:tcPr>
            <w:tcW w:type="dxa" w:w="31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Score must derive from the merged HDR’s percentiles, never re-derived inputs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23B2E" w:sz="18"/>
              <w:bottom w:val="single" w:color="CCCCCC" w:sz="1"/>
              <w:right w:val="single" w:color="CCCCCC" w:sz="1"/>
            </w:tcBorders>
            <w:shd w:fill="FBF1EC" w:val="clear"/>
            <w:tcMar>
              <w:top w:type="dxa" w:w="130"/>
              <w:left w:type="dxa" w:w="200"/>
              <w:bottom w:type="dxa" w:w="130"/>
              <w:right w:type="dxa" w:w="160"/>
            </w:tcMar>
          </w:tcPr>
          <w:p>
            <w:pPr>
              <w:spacing w:after="60"/>
            </w:pPr>
            <w:r>
              <w:rPr>
                <w:b/>
                <w:bCs/>
                <w:color w:val="B23B2E"/>
                <w:sz w:val="21"/>
                <w:szCs w:val="21"/>
              </w:rPr>
              <w:t xml:space="preserve">If the leaderboard needs a number the contract does not expose</w:t>
            </w:r>
          </w:p>
          <w:p>
            <w:pPr>
              <w:spacing w:after="40" w:line="290"/>
            </w:pPr>
            <w:r>
              <w:t xml:space="preserve">The answer is never “recompute it from raw samples in the frontend.” The answer is: derive it from the additive HDR blob (which is lossless and safe to merge), or request that Track 2 add it as a derived gauge to the contract. A leaderboard that re-aggregates is worse than no leaderboard — it presents a precise-looking number that is wrong, which is the most dangerous failure mode for a benchmarking platform whose entire value proposition is measurement credibility.</w:t>
            </w:r>
          </w:p>
        </w:tc>
      </w:tr>
    </w:tbl>
    <w:p>
      <w:r>
        <w:br w:type="page"/>
      </w:r>
    </w:p>
    <w:p>
      <w:pPr>
        <w:pStyle w:val="Heading1"/>
      </w:pPr>
      <w:r>
        <w:t xml:space="preserve">2. Architecture</w:t>
      </w:r>
    </w:p>
    <w:p>
      <w:pPr>
        <w:spacing w:after="120" w:line="300"/>
      </w:pPr>
      <w:r>
        <w:t xml:space="preserve">Three layers, each reading only contract-defined inputs. Nothing in the leaderboard touches the order hot path, the journal, or raw samples — it is strictly a consumer of already-correct aggregates.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48"/>
            </w:pPr>
            <w:r>
              <w:rPr>
                <w:rFonts w:ascii="Consolas" w:cs="Consolas" w:eastAsia="Consolas" w:hAnsi="Consolas"/>
                <w:sz w:val="16"/>
                <w:szCs w:val="16"/>
              </w:rPr>
              <w:t xml:space="preserve">VictoriaMetrics (derived gauges: p50/p90/p99/p99.9/p99.99/max/tps/err)</w:t>
            </w:r>
          </w:p>
          <w:p>
            <w:pPr>
              <w:spacing w:after="0" w:line="248"/>
            </w:pPr>
            <w:r>
              <w:rPr>
                <w:rFonts w:ascii="Consolas" w:cs="Consolas" w:eastAsia="Consolas" w:hAnsi="Consolas"/>
                <w:sz w:val="16"/>
                <w:szCs w:val="16"/>
              </w:rPr>
              <w:t xml:space="preserve">        |                         additive HDR blobs (per submission)</w:t>
            </w:r>
          </w:p>
          <w:p>
            <w:pPr>
              <w:spacing w:after="0" w:line="248"/>
            </w:pPr>
            <w:r>
              <w:rPr>
                <w:rFonts w:ascii="Consolas" w:cs="Consolas" w:eastAsia="Consolas" w:hAnsi="Consolas"/>
                <w:sz w:val="16"/>
                <w:szCs w:val="16"/>
              </w:rPr>
              <w:t xml:space="preserve">        v                                   |</w:t>
            </w:r>
          </w:p>
          <w:p>
            <w:pPr>
              <w:spacing w:after="0" w:line="248"/>
            </w:pPr>
            <w:r>
              <w:rPr>
                <w:rFonts w:ascii="Consolas" w:cs="Consolas" w:eastAsia="Consolas" w:hAnsi="Consolas"/>
                <w:sz w:val="16"/>
                <w:szCs w:val="16"/>
              </w:rPr>
              <w:t xml:space="preserve">+------------------------+                  v</w:t>
            </w:r>
          </w:p>
          <w:p>
            <w:pPr>
              <w:spacing w:after="0" w:line="248"/>
            </w:pPr>
            <w:r>
              <w:rPr>
                <w:rFonts w:ascii="Consolas" w:cs="Consolas" w:eastAsia="Consolas" w:hAnsi="Consolas"/>
                <w:sz w:val="16"/>
                <w:szCs w:val="16"/>
              </w:rPr>
              <w:t xml:space="preserve">| Scoring Service        |  &lt;-- frozen Scoring Definition (contract)</w:t>
            </w:r>
          </w:p>
          <w:p>
            <w:pPr>
              <w:spacing w:after="0" w:line="248"/>
            </w:pPr>
            <w:r>
              <w:rPr>
                <w:rFonts w:ascii="Consolas" w:cs="Consolas" w:eastAsia="Consolas" w:hAnsi="Consolas"/>
                <w:sz w:val="16"/>
                <w:szCs w:val="16"/>
              </w:rPr>
              <w:t xml:space="preserve">|  - reads gauges + HDR  |      composite = 0.4*lat + 0.3*tps + 0.3*correct</w:t>
            </w:r>
          </w:p>
          <w:p>
            <w:pPr>
              <w:spacing w:after="0" w:line="248"/>
            </w:pPr>
            <w:r>
              <w:rPr>
                <w:rFonts w:ascii="Consolas" w:cs="Consolas" w:eastAsia="Consolas" w:hAnsi="Consolas"/>
                <w:sz w:val="16"/>
                <w:szCs w:val="16"/>
              </w:rPr>
              <w:t xml:space="preserve">|  - applies integrity   |      correctness HARD-FAIL caps total</w:t>
            </w:r>
          </w:p>
          <w:p>
            <w:pPr>
              <w:spacing w:after="0" w:line="248"/>
            </w:pPr>
            <w:r>
              <w:rPr>
                <w:rFonts w:ascii="Consolas" w:cs="Consolas" w:eastAsia="Consolas" w:hAnsi="Consolas"/>
                <w:sz w:val="16"/>
                <w:szCs w:val="16"/>
              </w:rPr>
              <w:t xml:space="preserve">|    gate (exclude noisy) |</w:t>
            </w:r>
          </w:p>
          <w:p>
            <w:pPr>
              <w:spacing w:after="0" w:line="248"/>
            </w:pPr>
            <w:r>
              <w:rPr>
                <w:rFonts w:ascii="Consolas" w:cs="Consolas" w:eastAsia="Consolas" w:hAnsi="Consolas"/>
                <w:sz w:val="16"/>
                <w:szCs w:val="16"/>
              </w:rPr>
              <w:t xml:space="preserve">+-----------+------------+</w:t>
            </w:r>
          </w:p>
          <w:p>
            <w:pPr>
              <w:spacing w:after="0" w:line="248"/>
            </w:pPr>
            <w:r>
              <w:rPr>
                <w:rFonts w:ascii="Consolas" w:cs="Consolas" w:eastAsia="Consolas" w:hAnsi="Consolas"/>
                <w:sz w:val="16"/>
                <w:szCs w:val="16"/>
              </w:rPr>
              <w:t xml:space="preserve">            | ranked rows + time series (push)</w:t>
            </w:r>
          </w:p>
          <w:p>
            <w:pPr>
              <w:spacing w:after="0" w:line="248"/>
            </w:pPr>
            <w:r>
              <w:rPr>
                <w:rFonts w:ascii="Consolas" w:cs="Consolas" w:eastAsia="Consolas" w:hAnsi="Consolas"/>
                <w:sz w:val="16"/>
                <w:szCs w:val="16"/>
              </w:rPr>
              <w:t xml:space="preserve">            v</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 Realtime Gateway       | ---&gt; | Browser UI (live board)   |</w:t>
            </w:r>
          </w:p>
          <w:p>
            <w:pPr>
              <w:spacing w:after="0" w:line="248"/>
            </w:pPr>
            <w:r>
              <w:rPr>
                <w:rFonts w:ascii="Consolas" w:cs="Consolas" w:eastAsia="Consolas" w:hAnsi="Consolas"/>
                <w:sz w:val="16"/>
                <w:szCs w:val="16"/>
              </w:rPr>
              <w:t xml:space="preserve">|  WS/SSE fan-out        |      |  - rank table (animated)  |</w:t>
            </w:r>
          </w:p>
          <w:p>
            <w:pPr>
              <w:spacing w:after="0" w:line="248"/>
            </w:pPr>
            <w:r>
              <w:rPr>
                <w:rFonts w:ascii="Consolas" w:cs="Consolas" w:eastAsia="Consolas" w:hAnsi="Consolas"/>
                <w:sz w:val="16"/>
                <w:szCs w:val="16"/>
              </w:rPr>
              <w:t xml:space="preserve">|  Redis = live cache    |      |  - per-protocol boards    |</w:t>
            </w:r>
          </w:p>
          <w:p>
            <w:pPr>
              <w:spacing w:after="0" w:line="248"/>
            </w:pPr>
            <w:r>
              <w:rPr>
                <w:rFonts w:ascii="Consolas" w:cs="Consolas" w:eastAsia="Consolas" w:hAnsi="Consolas"/>
                <w:sz w:val="16"/>
                <w:szCs w:val="16"/>
              </w:rPr>
              <w:t xml:space="preserve">|  ONLY (not ingestion)  |      |  - latency tail viz       |</w:t>
            </w:r>
          </w:p>
          <w:p>
            <w:pPr>
              <w:spacing w:after="0" w:line="248"/>
            </w:pPr>
            <w:r>
              <w:rPr>
                <w:rFonts w:ascii="Consolas" w:cs="Consolas" w:eastAsia="Consolas" w:hAnsi="Consolas"/>
                <w:sz w:val="16"/>
                <w:szCs w:val="16"/>
              </w:rPr>
              <w:t xml:space="preserve">+------------------------+      |  - PTP sync-quality badge |</w:t>
            </w:r>
          </w:p>
          <w:p>
            <w:pPr>
              <w:spacing w:after="0" w:line="248"/>
            </w:pPr>
            <w:r>
              <w:rPr>
                <w:rFonts w:ascii="Consolas" w:cs="Consolas" w:eastAsia="Consolas" w:hAnsi="Consolas"/>
                <w:sz w:val="16"/>
                <w:szCs w:val="16"/>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Layer</w:t>
            </w:r>
          </w:p>
        </w:tc>
        <w:tc>
          <w:tcPr>
            <w:tcW w:type="dxa" w:w="696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Responsibility &amp; contract tie-in</w:t>
            </w:r>
          </w:p>
        </w:tc>
      </w:tr>
      <w:tr>
        <w:trPr>
          <w:tblHeader w:val="false"/>
        </w:trP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Scoring Service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Reads derived gauges + additive HDR; applies the frozen scoring formula and the integrity gate. Stateless; recomputes rank on each tick from contract inputs only.</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Realtime Gateway</w:t>
            </w:r>
          </w:p>
        </w:tc>
        <w:tc>
          <w:tcPr>
            <w:tcW w:type="dxa" w:w="69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WebSocket/SSE fan-out of ranked rows. Redis is the live cache only — per the research brief it must never sit on the ingestion path.</w:t>
            </w:r>
          </w:p>
        </w:tc>
      </w:tr>
      <w:tr>
        <w:trPr>
          <w:tblHeader w:val="false"/>
        </w:trP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Browser UI</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Renders rank, per-protocol boards, latency tails, and clock-quality metadata. Pure presentation; no statistics performed client-side.</w:t>
            </w:r>
          </w:p>
        </w:tc>
      </w:tr>
    </w:tbl>
    <w:p>
      <w:r>
        <w:br w:type="page"/>
      </w:r>
    </w:p>
    <w:p>
      <w:pPr>
        <w:pStyle w:val="Heading1"/>
      </w:pPr>
      <w:r>
        <w:t xml:space="preserve">3. The Scoring Service</w:t>
      </w:r>
    </w:p>
    <w:p>
      <w:pPr>
        <w:spacing w:after="120" w:line="300"/>
      </w:pPr>
      <w:r>
        <w:t xml:space="preserve">The scoring formula is owned by the Interface Contract, not by this track — reproduced here only to make the data dependencies explicit. The service is a pure function of contract inputs: given the same gauges and HDR blobs it always produces the same ranking, which makes the leaderboard itself deterministic and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48"/>
            </w:pPr>
            <w:r>
              <w:rPr>
                <w:rFonts w:ascii="Consolas" w:cs="Consolas" w:eastAsia="Consolas" w:hAnsi="Consolas"/>
                <w:sz w:val="16"/>
                <w:szCs w:val="16"/>
              </w:rPr>
              <w:t xml:space="preserve">for each (submissionId, protocol):</w:t>
            </w:r>
          </w:p>
          <w:p>
            <w:pPr>
              <w:spacing w:after="0" w:line="248"/>
            </w:pPr>
            <w:r>
              <w:rPr>
                <w:rFonts w:ascii="Consolas" w:cs="Consolas" w:eastAsia="Consolas" w:hAnsi="Consolas"/>
                <w:sz w:val="16"/>
                <w:szCs w:val="16"/>
              </w:rPr>
              <w:t xml:space="preserve">    hdr   = merge(additive HDR blobs for this submission)   // lossless</w:t>
            </w:r>
          </w:p>
          <w:p>
            <w:pPr>
              <w:spacing w:after="0" w:line="248"/>
            </w:pPr>
            <w:r>
              <w:rPr>
                <w:rFonts w:ascii="Consolas" w:cs="Consolas" w:eastAsia="Consolas" w:hAnsi="Consolas"/>
                <w:sz w:val="16"/>
                <w:szCs w:val="16"/>
              </w:rPr>
              <w:t xml:space="preserve">    p99   = hdr.valueAtPercentile(99)        // from MERGED hdr, not avg</w:t>
            </w:r>
          </w:p>
          <w:p>
            <w:pPr>
              <w:spacing w:after="0" w:line="248"/>
            </w:pPr>
            <w:r>
              <w:rPr>
                <w:rFonts w:ascii="Consolas" w:cs="Consolas" w:eastAsia="Consolas" w:hAnsi="Consolas"/>
                <w:sz w:val="16"/>
                <w:szCs w:val="16"/>
              </w:rPr>
              <w:t xml:space="preserve">    tps   = gauge[max_sustained_tps_before_err_threshold]</w:t>
            </w:r>
          </w:p>
          <w:p>
            <w:pPr>
              <w:spacing w:after="0" w:line="248"/>
            </w:pPr>
            <w:r>
              <w:rPr>
                <w:rFonts w:ascii="Consolas" w:cs="Consolas" w:eastAsia="Consolas" w:hAnsi="Consolas"/>
                <w:sz w:val="16"/>
                <w:szCs w:val="16"/>
              </w:rPr>
              <w:t xml:space="preserve">    corr  = gauge[diff_pass_rate], inv = gauge[invariant_violations]</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    if hard_correctness_failure(corr, inv):</w:t>
            </w:r>
          </w:p>
          <w:p>
            <w:pPr>
              <w:spacing w:after="0" w:line="248"/>
            </w:pPr>
            <w:r>
              <w:rPr>
                <w:rFonts w:ascii="Consolas" w:cs="Consolas" w:eastAsia="Consolas" w:hAnsi="Consolas"/>
                <w:sz w:val="16"/>
                <w:szCs w:val="16"/>
              </w:rPr>
              <w:t xml:space="preserve">        score = CAP_FAILED                   // speed cannot buy this back</w:t>
            </w:r>
          </w:p>
          <w:p>
            <w:pPr>
              <w:spacing w:after="0" w:line="248"/>
            </w:pPr>
            <w:r>
              <w:rPr>
                <w:rFonts w:ascii="Consolas" w:cs="Consolas" w:eastAsia="Consolas" w:hAnsi="Consolas"/>
                <w:sz w:val="16"/>
                <w:szCs w:val="16"/>
              </w:rPr>
              <w:t xml:space="preserve">    else:</w:t>
            </w:r>
          </w:p>
          <w:p>
            <w:pPr>
              <w:spacing w:after="0" w:line="248"/>
            </w:pPr>
            <w:r>
              <w:rPr>
                <w:rFonts w:ascii="Consolas" w:cs="Consolas" w:eastAsia="Consolas" w:hAnsi="Consolas"/>
                <w:sz w:val="16"/>
                <w:szCs w:val="16"/>
              </w:rPr>
              <w:t xml:space="preserve">        score = 0.40 * norm_latency(p99)</w:t>
            </w:r>
          </w:p>
          <w:p>
            <w:pPr>
              <w:spacing w:after="0" w:line="248"/>
            </w:pPr>
            <w:r>
              <w:rPr>
                <w:rFonts w:ascii="Consolas" w:cs="Consolas" w:eastAsia="Consolas" w:hAnsi="Consolas"/>
                <w:sz w:val="16"/>
                <w:szCs w:val="16"/>
              </w:rPr>
              <w:t xml:space="preserve">              + 0.30 * norm_throughput(tps)</w:t>
            </w:r>
          </w:p>
          <w:p>
            <w:pPr>
              <w:spacing w:after="0" w:line="248"/>
            </w:pPr>
            <w:r>
              <w:rPr>
                <w:rFonts w:ascii="Consolas" w:cs="Consolas" w:eastAsia="Consolas" w:hAnsi="Consolas"/>
                <w:sz w:val="16"/>
                <w:szCs w:val="16"/>
              </w:rPr>
              <w:t xml:space="preserve">              + 0.30 * norm_correctness(corr, inv)</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    if bot_integrity_gate_failed(submissionId):</w:t>
            </w:r>
          </w:p>
          <w:p>
            <w:pPr>
              <w:spacing w:after="0" w:line="248"/>
            </w:pPr>
            <w:r>
              <w:rPr>
                <w:rFonts w:ascii="Consolas" w:cs="Consolas" w:eastAsia="Consolas" w:hAnsi="Consolas"/>
                <w:sz w:val="16"/>
                <w:szCs w:val="16"/>
              </w:rPr>
              <w:t xml:space="preserve">        exclude affected samples BEFORE ranking   // not a penalty, a filter</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rank within protocol; also an overall board. Never mix protocols.</w:t>
            </w:r>
          </w:p>
        </w:tc>
      </w:tr>
    </w:tbl>
    <w:p>
      <w:pPr>
        <w:pStyle w:val="Heading3"/>
      </w:pPr>
      <w:r>
        <w:t xml:space="preserve">Normalisation note</w:t>
      </w:r>
    </w:p>
    <w:p>
      <w:pPr>
        <w:spacing w:after="120" w:line="300"/>
      </w:pPr>
      <w:r>
        <w:t xml:space="preserve">Latency and throughput are normalised against the live field so the board is comparative, not absolute — a contestant’s position reflects standing among peers under identical scenario load. Normalisation is recomputed each tick from the same contract inputs; it introduces no hidden state and no re-aggregation of raw latency.</w:t>
      </w:r>
    </w:p>
    <w:p>
      <w:pPr>
        <w:pStyle w:val="Heading1"/>
      </w:pPr>
      <w:r>
        <w:t xml:space="preserve">4. Per-Protocol Boards Are Mandatory</w:t>
      </w:r>
    </w:p>
    <w:p>
      <w:pPr>
        <w:spacing w:after="120" w:line="300"/>
      </w:pPr>
      <w:r>
        <w:t xml:space="preserve">The Interface Contract forbids cross-protocol comparison, and the leaderboard is where that rule is most likely to be violated by accident. A JSON-over-WebSocket submission and a binary-FIX submission are not running the same race — TLS and JSON framing alone add tens of microseconds the research brief documents. Presenting them in one ranked column would make the board actively misleading.</w:t>
      </w:r>
    </w:p>
    <w:p>
      <w:pPr>
        <w:pStyle w:val="ListParagraph"/>
        <w:numPr>
          <w:ilvl w:val="0"/>
          <w:numId w:val="2"/>
        </w:numPr>
        <w:spacing w:after="60" w:line="290"/>
      </w:pPr>
      <w:r>
        <w:t xml:space="preserve">Primary view: separate ranked boards for FIX, WebSocket, and REST. This is the honest comparison.</w:t>
      </w:r>
    </w:p>
    <w:p>
      <w:pPr>
        <w:pStyle w:val="ListParagraph"/>
        <w:numPr>
          <w:ilvl w:val="0"/>
          <w:numId w:val="2"/>
        </w:numPr>
        <w:spacing w:after="60" w:line="290"/>
      </w:pPr>
      <w:r>
        <w:t xml:space="preserve">Secondary view: an overall board permitted only with an explicit protocol column and a visible note that protocols are not directly comparable.</w:t>
      </w:r>
    </w:p>
    <w:p>
      <w:pPr>
        <w:pStyle w:val="ListParagraph"/>
        <w:numPr>
          <w:ilvl w:val="0"/>
          <w:numId w:val="2"/>
        </w:numPr>
        <w:spacing w:after="60" w:line="290"/>
      </w:pPr>
      <w:r>
        <w:t xml:space="preserve">Every metric tile carries its protocol tag from the contract — the UI never displays a latency number without the protocol context that makes it meaningful.</w:t>
      </w:r>
    </w:p>
    <w:p>
      <w:r>
        <w:br w:type="page"/>
      </w:r>
    </w:p>
    <w:p>
      <w:pPr>
        <w:pStyle w:val="Heading1"/>
      </w:pPr>
      <w:r>
        <w:t xml:space="preserve">5. Visualising the Tail Honestly</w:t>
      </w:r>
    </w:p>
    <w:p>
      <w:pPr>
        <w:spacing w:after="120" w:line="300"/>
      </w:pPr>
      <w:r>
        <w:t xml:space="preserve">The whole platform exists to measure tail latency correctly; the visualisation must not undo that. A single “average latency” number is exactly the lie the research brief’s meta-finding warns against. The UI presents the distribution, not a misleading scalar.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Visualisation</w:t>
            </w:r>
          </w:p>
        </w:tc>
        <w:tc>
          <w:tcPr>
            <w:tcW w:type="dxa" w:w="676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Rule</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Latency percentile ladder</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Show p50/p90/p99/p99.9/p99.99/max side by side — the tail is the story, not the median</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No mean-latency headline</w:t>
            </w:r>
          </w:p>
        </w:tc>
        <w:tc>
          <w:tcPr>
            <w:tcW w:type="dxa" w:w="67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A mean hides the tail; if shown at all it is secondary and labelled as non-representative</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HDR-faithful distribution</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Render from the additive HDR’s buckets directly; do not re-bin into prettier UI buckets</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Throughput vs error knee</w:t>
            </w:r>
          </w:p>
        </w:tc>
        <w:tc>
          <w:tcPr>
            <w:tcW w:type="dxa" w:w="67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Plot TPS against error rate so the “sustained before failure” point is visible, not just peak</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PTP sync-quality badge</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Every board shows achieved clock sync (max/mean offset); a latency number without it is unqualified</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Run identity</w:t>
            </w:r>
          </w:p>
        </w:tc>
        <w:tc>
          <w:tcPr>
            <w:tcW w:type="dxa" w:w="67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submission_id hash + contestant /version visible — the Knight Capital identity discipline surfaced to judges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6F42" w:sz="18"/>
              <w:bottom w:val="single" w:color="CCCCCC" w:sz="1"/>
              <w:right w:val="single" w:color="CCCCCC" w:sz="1"/>
            </w:tcBorders>
            <w:shd w:fill="EEF6F0" w:val="clear"/>
            <w:tcMar>
              <w:top w:type="dxa" w:w="130"/>
              <w:left w:type="dxa" w:w="200"/>
              <w:bottom w:type="dxa" w:w="130"/>
              <w:right w:type="dxa" w:w="160"/>
            </w:tcMar>
          </w:tcPr>
          <w:p>
            <w:pPr>
              <w:spacing w:after="60"/>
            </w:pPr>
            <w:r>
              <w:rPr>
                <w:b/>
                <w:bCs/>
                <w:color w:val="1D6F42"/>
                <w:sz w:val="21"/>
                <w:szCs w:val="21"/>
              </w:rPr>
              <w:t xml:space="preserve">The clock-quality badge is not decoration</w:t>
            </w:r>
          </w:p>
          <w:p>
            <w:pPr>
              <w:spacing w:after="40" w:line="290"/>
            </w:pPr>
            <w:r>
              <w:t xml:space="preserve">The research brief is explicit that achieved PTP sync quality is critical metadata for every latency measurement. If cross-node sync degrades, sub-microsecond comparisons between contestants on different nodes become unreliable. Surfacing it on the board is what lets a judge trust the ranking — and what lets the team detect a measurement-infrastructure problem instead of misreading it as a contestant result.</w:t>
            </w:r>
          </w:p>
        </w:tc>
      </w:tr>
    </w:tbl>
    <w:p>
      <w:pPr>
        <w:pStyle w:val="Heading1"/>
      </w:pPr>
      <w:r>
        <w:t xml:space="preserve">6. Realtime Delivery &amp; Scale</w:t>
      </w:r>
    </w:p>
    <w:p>
      <w:pPr>
        <w:spacing w:after="120" w:line="300"/>
      </w:pPr>
      <w:r>
        <w:t xml:space="preserve">The board updates on a cadence measured in seconds, not microseconds — this is a human-facing surface, and the research brief is explicit that pub-sub/cache technology belongs here and only here, never on the measurement path.</w:t>
      </w:r>
    </w:p>
    <w:p>
      <w:pPr>
        <w:pStyle w:val="ListParagraph"/>
        <w:numPr>
          <w:ilvl w:val="0"/>
          <w:numId w:val="2"/>
        </w:numPr>
        <w:spacing w:after="60" w:line="290"/>
      </w:pPr>
      <w:r>
        <w:t xml:space="preserve">WebSocket or SSE fan-out of ranked deltas; clients receive diffs, not full re-renders, so 1000+ contestants scale smoothly in the browser.</w:t>
      </w:r>
    </w:p>
    <w:p>
      <w:pPr>
        <w:pStyle w:val="ListParagraph"/>
        <w:numPr>
          <w:ilvl w:val="0"/>
          <w:numId w:val="2"/>
        </w:numPr>
        <w:spacing w:after="60" w:line="290"/>
      </w:pPr>
      <w:r>
        <w:t xml:space="preserve">Redis as the live leaderboard cache and dashboard pub-sub — explicitly the role the research brief assigns it, and explicitly not ingestion.</w:t>
      </w:r>
    </w:p>
    <w:p>
      <w:pPr>
        <w:pStyle w:val="ListParagraph"/>
        <w:numPr>
          <w:ilvl w:val="0"/>
          <w:numId w:val="2"/>
        </w:numPr>
        <w:spacing w:after="60" w:line="290"/>
      </w:pPr>
      <w:r>
        <w:t xml:space="preserve">VictoriaMetrics + Grafana for the operator/analytics view; the bespoke UI is the contestant-facing dynamic board. Both read the same contract gauges.</w:t>
      </w:r>
    </w:p>
    <w:p>
      <w:pPr>
        <w:pStyle w:val="ListParagraph"/>
        <w:numPr>
          <w:ilvl w:val="0"/>
          <w:numId w:val="2"/>
        </w:numPr>
        <w:spacing w:after="60" w:line="290"/>
      </w:pPr>
      <w:r>
        <w:t xml:space="preserve">Update cadence 1–5 s: fast enough to feel live, slow enough that it never competes with the measurement path for resources.</w:t>
      </w:r>
    </w:p>
    <w:p>
      <w:r>
        <w:br w:type="page"/>
      </w:r>
    </w:p>
    <w:p>
      <w:pPr>
        <w:pStyle w:val="Heading1"/>
      </w:pPr>
      <w:r>
        <w:t xml:space="preserve">7. Build Order &amp; Mock Strategy</w:t>
      </w:r>
    </w:p>
    <w:p>
      <w:pPr>
        <w:pStyle w:val="ListParagraph"/>
        <w:numPr>
          <w:ilvl w:val="0"/>
          <w:numId w:val="3"/>
        </w:numPr>
        <w:spacing w:after="60" w:line="290"/>
      </w:pPr>
      <w:r>
        <w:t xml:space="preserve">Day 1: define the mock — synthetic VictoriaMetrics series + contract-conformant HDR blobs. Build the entire UI and scoring service against this. No dependency on other tracks.</w:t>
      </w:r>
    </w:p>
    <w:p>
      <w:pPr>
        <w:pStyle w:val="ListParagraph"/>
        <w:numPr>
          <w:ilvl w:val="0"/>
          <w:numId w:val="3"/>
        </w:numPr>
        <w:spacing w:after="60" w:line="290"/>
      </w:pPr>
      <w:r>
        <w:t xml:space="preserve">Scoring service against mocks: implement the frozen formula, the correctness hard-cap, and the integrity-gate filter. Verify ranking is deterministic given fixed inputs.</w:t>
      </w:r>
    </w:p>
    <w:p>
      <w:pPr>
        <w:pStyle w:val="ListParagraph"/>
        <w:numPr>
          <w:ilvl w:val="0"/>
          <w:numId w:val="3"/>
        </w:numPr>
        <w:spacing w:after="60" w:line="290"/>
      </w:pPr>
      <w:r>
        <w:t xml:space="preserve">Realtime gateway + UI: WS/SSE deltas, per-protocol boards, percentile ladder, PTP badge, run-identity display.</w:t>
      </w:r>
    </w:p>
    <w:p>
      <w:pPr>
        <w:pStyle w:val="ListParagraph"/>
        <w:numPr>
          <w:ilvl w:val="0"/>
          <w:numId w:val="3"/>
        </w:numPr>
        <w:spacing w:after="60" w:line="290"/>
      </w:pPr>
      <w:r>
        <w:t xml:space="preserve">Swap mocks for live sources the moment Track 2 telemetry is up — zero UI change if the contract held. This swap is the integration test for the contract itself.</w:t>
      </w:r>
    </w:p>
    <w:p>
      <w:pPr>
        <w:pStyle w:val="ListParagraph"/>
        <w:numPr>
          <w:ilvl w:val="0"/>
          <w:numId w:val="3"/>
        </w:numPr>
        <w:spacing w:after="60" w:line="290"/>
      </w:pPr>
      <w:r>
        <w:t xml:space="preserve">Soak: 1000+ synthetic contestants at target cadence; confirm browser stays responsive on deltas and the scoring service stays stateless.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6F42" w:sz="18"/>
              <w:bottom w:val="single" w:color="CCCCCC" w:sz="1"/>
              <w:right w:val="single" w:color="CCCCCC" w:sz="1"/>
            </w:tcBorders>
            <w:shd w:fill="EEF6F0" w:val="clear"/>
            <w:tcMar>
              <w:top w:type="dxa" w:w="130"/>
              <w:left w:type="dxa" w:w="200"/>
              <w:bottom w:type="dxa" w:w="130"/>
              <w:right w:type="dxa" w:w="160"/>
            </w:tcMar>
          </w:tcPr>
          <w:p>
            <w:pPr>
              <w:spacing w:after="60"/>
            </w:pPr>
            <w:r>
              <w:rPr>
                <w:b/>
                <w:bCs/>
                <w:color w:val="1D6F42"/>
                <w:sz w:val="21"/>
                <w:szCs w:val="21"/>
              </w:rPr>
              <w:t xml:space="preserve">The contract is the integration test</w:t>
            </w:r>
          </w:p>
          <w:p>
            <w:pPr>
              <w:spacing w:after="40" w:line="290"/>
            </w:pPr>
            <w:r>
              <w:t xml:space="preserve">If swapping mocked sources for live ones requires any UI or scoring change, the Interface Contract was violated somewhere upstream — that is the signal to fix the contract, not to patch the leaderboard. A clean swap is the proof that the decoupled architecture actually decoupled.</w:t>
            </w:r>
          </w:p>
        </w:tc>
      </w:tr>
    </w:tbl>
    <w:p>
      <w:pPr>
        <w:spacing w:after="80"/>
      </w:pPr>
    </w:p>
    <w:p>
      <w:pPr>
        <w:pBdr>
          <w:top w:val="single" w:color="1F6FEB" w:sz="4" w:space="6"/>
        </w:pBdr>
        <w:spacing w:after="60" w:before="200"/>
      </w:pPr>
    </w:p>
    <w:p>
      <w:pPr>
        <w:jc w:val="center"/>
      </w:pPr>
      <w:r>
        <w:rPr>
          <w:i/>
          <w:iCs/>
          <w:color w:val="777777"/>
          <w:sz w:val="17"/>
          <w:szCs w:val="17"/>
        </w:rPr>
        <w:t xml:space="preserve">End — Real-Time Leaderboard &amp; Analytics (Track 3). Completes the four-document set.</w:t>
      </w:r>
    </w:p>
    <w:p>
      <w:pPr>
        <w:spacing w:before="80"/>
        <w:jc w:val="center"/>
      </w:pPr>
      <w:r>
        <w:rPr>
          <w:color w:val="999999"/>
          <w:sz w:val="15"/>
          <w:szCs w:val="15"/>
        </w:rPr>
        <w:t xml:space="preserve">Set: (1) Interface Contract &amp; Sandboxing · (2) Load Generator Rev 2 · (3) Bot Fleet &amp; Telemetry · (4) Real-Time Leaderboard.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Display correctness &gt; visual polish</w:t>
    </w:r>
    <w:r>
      <w:rPr>
        <w:color w:val="888888"/>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Real-Time Leaderboard · Track 3</w:t>
    </w:r>
    <w:r>
      <w:rPr>
        <w:color w:val="888888"/>
        <w:sz w:val="16"/>
        <w:szCs w:val="16"/>
      </w:rPr>
      <w:t xml:space="preserve">	IICPC Summer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0B1F3A"/>
      <w:sz w:val="31"/>
      <w:szCs w:val="31"/>
    </w:rPr>
  </w:style>
  <w:style w:type="paragraph" w:styleId="Heading2">
    <w:name w:val="Heading 2"/>
    <w:basedOn w:val="Normal"/>
    <w:next w:val="Normal"/>
    <w:qFormat/>
    <w:pPr>
      <w:spacing w:after="120" w:before="220"/>
      <w:outlineLvl w:val="1"/>
    </w:pPr>
    <w:rPr>
      <w:rFonts w:ascii="Calibri" w:cs="Calibri" w:eastAsia="Calibri" w:hAnsi="Calibri"/>
      <w:b/>
      <w:bCs/>
      <w:color w:val="1F6FEB"/>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Leaderboard &amp; Analytics — Track 3 Build Document</dc:title>
  <dc:creator>Low-Latency Quant Dev</dc:creator>
  <cp:lastModifiedBy>Un-named</cp:lastModifiedBy>
  <cp:revision>1</cp:revision>
  <dcterms:created xsi:type="dcterms:W3CDTF">2026-05-18T21:08:16.536Z</dcterms:created>
  <dcterms:modified xsi:type="dcterms:W3CDTF">2026-05-18T21:08:16.536Z</dcterms:modified>
</cp:coreProperties>
</file>

<file path=docProps/custom.xml><?xml version="1.0" encoding="utf-8"?>
<Properties xmlns="http://schemas.openxmlformats.org/officeDocument/2006/custom-properties" xmlns:vt="http://schemas.openxmlformats.org/officeDocument/2006/docPropsVTypes"/>
</file>