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rPr>
          <w:rFonts w:ascii="Arial" w:cs="Arial" w:eastAsia="Arial" w:hAnsi="Arial"/>
          <w:b/>
          <w:bCs/>
          <w:color w:val="1F4E79"/>
          <w:sz w:val="56"/>
          <w:szCs w:val="56"/>
        </w:rPr>
        <w:t xml:space="preserve">SALES DASHBOARD</w:t>
      </w:r>
    </w:p>
    <w:p>
      <w:pPr>
        <w:spacing w:after="120" w:before="120"/>
        <w:jc w:val="center"/>
      </w:pPr>
      <w:r>
        <w:rPr>
          <w:rFonts w:ascii="Arial" w:cs="Arial" w:eastAsia="Arial" w:hAnsi="Arial"/>
          <w:color w:val="2E75B6"/>
          <w:sz w:val="30"/>
          <w:szCs w:val="30"/>
        </w:rPr>
        <w:t xml:space="preserve">Complete Technical &amp; Business Documentation</w:t>
      </w:r>
    </w:p>
    <w:p>
      <w:pPr>
        <w:spacing w:after="0" w:before="600"/>
        <w:jc w:val="center"/>
      </w:pPr>
      <w:r>
        <w:rPr>
          <w:rFonts w:ascii="Arial" w:cs="Arial" w:eastAsia="Arial" w:hAnsi="Arial"/>
          <w:i/>
          <w:iCs/>
          <w:color w:val="555555"/>
          <w:sz w:val="22"/>
          <w:szCs w:val="22"/>
        </w:rPr>
        <w:t xml:space="preserve">Tableau Workbook: Sales_Dashboard.twb</w:t>
      </w:r>
    </w:p>
    <w:p>
      <w:pPr>
        <w:spacing w:after="0" w:before="60"/>
        <w:jc w:val="center"/>
      </w:pPr>
      <w:r>
        <w:rPr>
          <w:rFonts w:ascii="Arial" w:cs="Arial" w:eastAsia="Arial" w:hAnsi="Arial"/>
          <w:i/>
          <w:iCs/>
          <w:color w:val="555555"/>
          <w:sz w:val="22"/>
          <w:szCs w:val="22"/>
        </w:rPr>
        <w:t xml:space="preserve">Tool: Tableau Desktop 2026.1  |  Data: Sales Project (CSV Files)</w:t>
      </w:r>
    </w:p>
    <w:p>
      <w:pPr>
        <w:spacing w:after="0" w:before="60"/>
        <w:jc w:val="center"/>
      </w:pPr>
      <w:r>
        <w:rPr>
          <w:rFonts w:ascii="Arial" w:cs="Arial" w:eastAsia="Arial" w:hAnsi="Arial"/>
          <w:i/>
          <w:iCs/>
          <w:color w:val="555555"/>
          <w:sz w:val="22"/>
          <w:szCs w:val="22"/>
        </w:rPr>
        <w:t xml:space="preserve">Coverage: 2020 – 2023 (Year-over-Year Comparison)</w:t>
      </w:r>
    </w:p>
    <w:p>
      <w:r>
        <w:br w:type="page"/>
      </w:r>
    </w:p>
    <w:p>
      <w:pPr>
        <w:pStyle w:val="Heading1"/>
        <w:spacing w:after="180" w:before="360"/>
      </w:pPr>
      <w:r>
        <w:rPr>
          <w:rFonts w:ascii="Arial" w:cs="Arial" w:eastAsia="Arial" w:hAnsi="Arial"/>
          <w:b/>
          <w:bCs/>
          <w:color w:val="1F4E79"/>
          <w:sz w:val="36"/>
          <w:szCs w:val="36"/>
        </w:rPr>
        <w:t xml:space="preserve">1. Project Overview</w:t>
      </w:r>
    </w:p>
    <w:p>
      <w:pPr>
        <w:pBdr>
          <w:bottom w:val="single" w:color="2E75B6" w:sz="4" w:space="1"/>
        </w:pBdr>
        <w:spacing w:after="120" w:before="120"/>
      </w:pPr>
    </w:p>
    <w:p>
      <w:pPr>
        <w:spacing w:after="80" w:before="80"/>
      </w:pPr>
      <w:r>
        <w:rPr>
          <w:rFonts w:ascii="Arial" w:cs="Arial" w:eastAsia="Arial" w:hAnsi="Arial"/>
          <w:sz w:val="22"/>
          <w:szCs w:val="22"/>
        </w:rPr>
        <w:t xml:space="preserve">The Sales Dashboard is a Tableau workbook (Sales_Dashboard.twb) built to give business stakeholders a clear, interactive view of sales performance. The workbook is designed around year-over-year (YoY) comparisons, enabling users to instantly benchmark the current year against the prior year across key metrics.</w:t>
      </w:r>
    </w:p>
    <w:p>
      <w:pPr>
        <w:spacing w:after="80" w:before="80"/>
      </w:pPr>
      <w:r>
        <w:rPr>
          <w:rFonts w:ascii="Arial" w:cs="Arial" w:eastAsia="Arial" w:hAnsi="Arial"/>
          <w:sz w:val="22"/>
          <w:szCs w:val="22"/>
        </w:rPr>
        <w:t xml:space="preserve">The workbook contains two fully interactive dashboards:</w:t>
      </w:r>
    </w:p>
    <w:p>
      <w:pPr>
        <w:pStyle w:val="ListParagraph"/>
        <w:numPr>
          <w:ilvl w:val="0"/>
          <w:numId w:val="2"/>
        </w:numPr>
        <w:spacing w:after="60" w:before="60"/>
      </w:pPr>
      <w:r>
        <w:rPr>
          <w:rFonts w:ascii="Arial" w:cs="Arial" w:eastAsia="Arial" w:hAnsi="Arial"/>
          <w:sz w:val="22"/>
          <w:szCs w:val="22"/>
        </w:rPr>
        <w:t xml:space="preserve">Sales Dashboard – tracks revenue, profitability, quantities, sub-category trends, and weekly patterns</w:t>
      </w:r>
    </w:p>
    <w:p>
      <w:pPr>
        <w:pStyle w:val="ListParagraph"/>
        <w:numPr>
          <w:ilvl w:val="0"/>
          <w:numId w:val="2"/>
        </w:numPr>
        <w:spacing w:after="60" w:before="60"/>
      </w:pPr>
      <w:r>
        <w:rPr>
          <w:rFonts w:ascii="Arial" w:cs="Arial" w:eastAsia="Arial" w:hAnsi="Arial"/>
          <w:sz w:val="22"/>
          <w:szCs w:val="22"/>
        </w:rPr>
        <w:t xml:space="preserve">Customer Dashboard – focuses on customer acquisition, order behaviour, and sales-per-customer metrics</w:t>
      </w:r>
    </w:p>
    <w:p>
      <w:pPr>
        <w:spacing w:after="80" w:before="80"/>
      </w:pPr>
      <w:r>
        <w:rPr>
          <w:rFonts w:ascii="Arial" w:cs="Arial" w:eastAsia="Arial" w:hAnsi="Arial"/>
          <w:sz w:val="22"/>
          <w:szCs w:val="22"/>
        </w:rPr>
        <w:t xml:space="preserve">A single year-selector parameter (Select Year) drives both dashboards simultaneously, making cross-dashboard navigation seamless. The workbook was created in Tableau 2026.1 on Windows and connects to four CSV flat files.</w:t>
      </w:r>
    </w:p>
    <w:p>
      <w:pPr>
        <w:spacing w:after="80" w:before="80"/>
      </w:pPr>
    </w:p>
    <w:p>
      <w:pPr>
        <w:pStyle w:val="Heading1"/>
        <w:spacing w:after="180" w:before="360"/>
      </w:pPr>
      <w:r>
        <w:rPr>
          <w:rFonts w:ascii="Arial" w:cs="Arial" w:eastAsia="Arial" w:hAnsi="Arial"/>
          <w:b/>
          <w:bCs/>
          <w:color w:val="1F4E79"/>
          <w:sz w:val="36"/>
          <w:szCs w:val="36"/>
        </w:rPr>
        <w:t xml:space="preserve">2. Data Sources</w:t>
      </w:r>
    </w:p>
    <w:p>
      <w:pPr>
        <w:pBdr>
          <w:bottom w:val="single" w:color="2E75B6" w:sz="4" w:space="1"/>
        </w:pBdr>
        <w:spacing w:after="120" w:before="120"/>
      </w:pPr>
    </w:p>
    <w:p>
      <w:pPr>
        <w:spacing w:after="80" w:before="80"/>
      </w:pPr>
      <w:r>
        <w:rPr>
          <w:rFonts w:ascii="Arial" w:cs="Arial" w:eastAsia="Arial" w:hAnsi="Arial"/>
          <w:sz w:val="22"/>
          <w:szCs w:val="22"/>
        </w:rPr>
        <w:t xml:space="preserve">The workbook uses a federated data source named Sales Project, which joins four CSV files from a local directory. All files are semicolon-delimited with header rows and use the en_IN locale with Indian Rupee (₹) as the currency.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300"/>
        <w:gridCol w:w="2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Orders.csv</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Row ID, Order ID, Order Date, Ship Date, Ship Mode, Customer ID, Segment, Postal Code, Sales, Quantity, Discount, Profit</w:t>
            </w:r>
          </w:p>
        </w:tc>
        <w:tc>
          <w:tcPr>
            <w:tcW w:type="dxa" w:w="1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Order ID</w:t>
            </w:r>
          </w:p>
        </w:tc>
        <w:tc>
          <w:tcPr>
            <w:tcW w:type="dxa" w:w="26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Core transactional data with all sales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Customers.csv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ID, Customer Name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ID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customer IDs to names (Windows-1252 encoding)</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Products.csv</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Product ID, Category, Sub-Category, Product Name</w:t>
            </w:r>
          </w:p>
        </w:tc>
        <w:tc>
          <w:tcPr>
            <w:tcW w:type="dxa" w:w="1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Product ID</w:t>
            </w:r>
          </w:p>
        </w:tc>
        <w:tc>
          <w:tcPr>
            <w:tcW w:type="dxa" w:w="26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Product catalogue with category hierarchy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Location.csv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Postal Code, City, State, Region, Country/Region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Postal Code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lookup table for order locations</w:t>
            </w:r>
          </w:p>
        </w:tc>
      </w:tr>
    </w:tbl>
    <w:p>
      <w:pPr>
        <w:spacing w:after="80" w:before="120"/>
      </w:pPr>
    </w:p>
    <w:p>
      <w:pPr>
        <w:pStyle w:val="Heading3"/>
        <w:spacing w:after="100" w:before="200"/>
      </w:pPr>
      <w:r>
        <w:rPr>
          <w:rFonts w:ascii="Arial" w:cs="Arial" w:eastAsia="Arial" w:hAnsi="Arial"/>
          <w:b/>
          <w:bCs/>
          <w:color w:val="375A7F"/>
          <w:sz w:val="24"/>
          <w:szCs w:val="24"/>
        </w:rPr>
        <w:t xml:space="preserve">Data Relationships</w:t>
      </w:r>
    </w:p>
    <w:p>
      <w:pPr>
        <w:spacing w:after="80" w:before="80"/>
      </w:pPr>
      <w:r>
        <w:rPr>
          <w:rFonts w:ascii="Arial" w:cs="Arial" w:eastAsia="Arial" w:hAnsi="Arial"/>
          <w:sz w:val="22"/>
          <w:szCs w:val="22"/>
        </w:rPr>
        <w:t xml:space="preserve">The four tables are joined on two foreign keys:</w:t>
      </w:r>
    </w:p>
    <w:p>
      <w:pPr>
        <w:pStyle w:val="ListParagraph"/>
        <w:numPr>
          <w:ilvl w:val="0"/>
          <w:numId w:val="2"/>
        </w:numPr>
        <w:spacing w:after="60" w:before="60"/>
      </w:pPr>
      <w:r>
        <w:rPr>
          <w:rFonts w:ascii="Arial" w:cs="Arial" w:eastAsia="Arial" w:hAnsi="Arial"/>
          <w:sz w:val="22"/>
          <w:szCs w:val="22"/>
        </w:rPr>
        <w:t xml:space="preserve">Orders.csv → Customers.csv via Customer ID</w:t>
      </w:r>
    </w:p>
    <w:p>
      <w:pPr>
        <w:pStyle w:val="ListParagraph"/>
        <w:numPr>
          <w:ilvl w:val="0"/>
          <w:numId w:val="2"/>
        </w:numPr>
        <w:spacing w:after="60" w:before="60"/>
      </w:pPr>
      <w:r>
        <w:rPr>
          <w:rFonts w:ascii="Arial" w:cs="Arial" w:eastAsia="Arial" w:hAnsi="Arial"/>
          <w:sz w:val="22"/>
          <w:szCs w:val="22"/>
        </w:rPr>
        <w:t xml:space="preserve">Orders.csv → Products.csv via Product ID</w:t>
      </w:r>
    </w:p>
    <w:p>
      <w:pPr>
        <w:pStyle w:val="ListParagraph"/>
        <w:numPr>
          <w:ilvl w:val="0"/>
          <w:numId w:val="2"/>
        </w:numPr>
        <w:spacing w:after="60" w:before="60"/>
      </w:pPr>
      <w:r>
        <w:rPr>
          <w:rFonts w:ascii="Arial" w:cs="Arial" w:eastAsia="Arial" w:hAnsi="Arial"/>
          <w:sz w:val="22"/>
          <w:szCs w:val="22"/>
        </w:rPr>
        <w:t xml:space="preserve">Orders.csv → Location.csv via Postal Code</w:t>
      </w:r>
    </w:p>
    <w:p>
      <w:pPr>
        <w:spacing w:after="80" w:before="80"/>
      </w:pPr>
    </w:p>
    <w:p>
      <w:pPr>
        <w:pStyle w:val="Heading1"/>
        <w:spacing w:after="180" w:before="360"/>
      </w:pPr>
      <w:r>
        <w:rPr>
          <w:rFonts w:ascii="Arial" w:cs="Arial" w:eastAsia="Arial" w:hAnsi="Arial"/>
          <w:b/>
          <w:bCs/>
          <w:color w:val="1F4E79"/>
          <w:sz w:val="36"/>
          <w:szCs w:val="36"/>
        </w:rPr>
        <w:t xml:space="preserve">3. Parameter: Select Year</w:t>
      </w:r>
    </w:p>
    <w:p>
      <w:pPr>
        <w:pBdr>
          <w:bottom w:val="single" w:color="2E75B6" w:sz="4" w:space="1"/>
        </w:pBdr>
        <w:spacing w:after="120" w:before="120"/>
      </w:pPr>
    </w:p>
    <w:p>
      <w:pPr>
        <w:spacing w:after="80" w:before="80"/>
      </w:pPr>
      <w:r>
        <w:rPr>
          <w:rFonts w:ascii="Arial" w:cs="Arial" w:eastAsia="Arial" w:hAnsi="Arial"/>
          <w:sz w:val="22"/>
          <w:szCs w:val="22"/>
        </w:rPr>
        <w:t xml:space="preserve">A single integer parameter named Select Year (Parameter 1) controls which year is treated as the Current Year (CY) across all calculated fields and both dashboards.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Parameter Name</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Select Year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Default Value</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2021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Values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2020, 2021, 2022, 2023</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Display Format</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n0 (whole number, no decimals)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Drives all CY/PY calculations across both dashboards</w:t>
            </w:r>
          </w:p>
        </w:tc>
      </w:tr>
    </w:tbl>
    <w:p>
      <w:pPr>
        <w:spacing w:after="80" w:before="80"/>
      </w:pPr>
    </w:p>
    <w:p>
      <w:pPr>
        <w:pStyle w:val="Heading1"/>
        <w:spacing w:after="180" w:before="360"/>
      </w:pPr>
      <w:r>
        <w:rPr>
          <w:rFonts w:ascii="Arial" w:cs="Arial" w:eastAsia="Arial" w:hAnsi="Arial"/>
          <w:b/>
          <w:bCs/>
          <w:color w:val="1F4E79"/>
          <w:sz w:val="36"/>
          <w:szCs w:val="36"/>
        </w:rPr>
        <w:t xml:space="preserve">4. Calculated Fields</w:t>
      </w:r>
    </w:p>
    <w:p>
      <w:pPr>
        <w:pBdr>
          <w:bottom w:val="single" w:color="2E75B6" w:sz="4" w:space="1"/>
        </w:pBdr>
        <w:spacing w:after="120" w:before="120"/>
      </w:pPr>
    </w:p>
    <w:p>
      <w:pPr>
        <w:spacing w:after="80" w:before="80"/>
      </w:pPr>
      <w:r>
        <w:rPr>
          <w:rFonts w:ascii="Arial" w:cs="Arial" w:eastAsia="Arial" w:hAnsi="Arial"/>
          <w:sz w:val="22"/>
          <w:szCs w:val="22"/>
        </w:rPr>
        <w:t xml:space="preserve">All business logic is encapsulated in calculated fields. They are grouped into four functional categories:</w:t>
      </w:r>
    </w:p>
    <w:p>
      <w:pPr>
        <w:spacing w:after="120" w:before="120"/>
      </w:pPr>
    </w:p>
    <w:p>
      <w:pPr>
        <w:pStyle w:val="Heading2"/>
        <w:spacing w:after="120" w:before="240"/>
      </w:pPr>
      <w:r>
        <w:rPr>
          <w:rFonts w:ascii="Arial" w:cs="Arial" w:eastAsia="Arial" w:hAnsi="Arial"/>
          <w:b/>
          <w:bCs/>
          <w:color w:val="2E75B6"/>
          <w:sz w:val="28"/>
          <w:szCs w:val="28"/>
        </w:rPr>
        <w:t xml:space="preserve">4.1 Current Year (CY) Metrics</w:t>
      </w:r>
    </w:p>
    <w:p>
      <w:pPr>
        <w:spacing w:after="80" w:before="80"/>
      </w:pPr>
      <w:r>
        <w:rPr>
          <w:rFonts w:ascii="Arial" w:cs="Arial" w:eastAsia="Arial" w:hAnsi="Arial"/>
          <w:sz w:val="22"/>
          <w:szCs w:val="22"/>
        </w:rPr>
        <w:t xml:space="preserve">These fields filter raw measures to only include data from the selected year: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 Logic</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CY Sales</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IF YEAR(Order Date) = [Select Year] THEN Sales END</w:t>
            </w:r>
          </w:p>
        </w:tc>
        <w:tc>
          <w:tcPr>
            <w:tcW w:type="dxa" w:w="1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$#,##0K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 Profit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YEAR(Order Date) = [Select Year] THEN Profit END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$#,##0K</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CY Quantity</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IF YEAR(Order Date) = [Select Year] THEN Quantity END</w:t>
            </w:r>
          </w:p>
        </w:tc>
        <w:tc>
          <w:tcPr>
            <w:tcW w:type="dxa" w:w="1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#,##0K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 Customer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COUNTD of Customer ID where year = Select Year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Distinct</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CY Orders</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COUNTD of Order ID where year = Select Year</w:t>
            </w:r>
          </w:p>
        </w:tc>
        <w:tc>
          <w:tcPr>
            <w:tcW w:type="dxa" w:w="1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Count Distinct</w:t>
            </w:r>
          </w:p>
        </w:tc>
      </w:tr>
    </w:tbl>
    <w:p>
      <w:pPr>
        <w:spacing w:after="120" w:before="120"/>
      </w:pPr>
    </w:p>
    <w:p>
      <w:pPr>
        <w:pStyle w:val="Heading2"/>
        <w:spacing w:after="120" w:before="240"/>
      </w:pPr>
      <w:r>
        <w:rPr>
          <w:rFonts w:ascii="Arial" w:cs="Arial" w:eastAsia="Arial" w:hAnsi="Arial"/>
          <w:b/>
          <w:bCs/>
          <w:color w:val="2E75B6"/>
          <w:sz w:val="28"/>
          <w:szCs w:val="28"/>
        </w:rPr>
        <w:t xml:space="preserve">4.2 Prior Year (PY) Metrics</w:t>
      </w:r>
    </w:p>
    <w:p>
      <w:pPr>
        <w:spacing w:after="80" w:before="80"/>
      </w:pPr>
      <w:r>
        <w:rPr>
          <w:rFonts w:ascii="Arial" w:cs="Arial" w:eastAsia="Arial" w:hAnsi="Arial"/>
          <w:sz w:val="22"/>
          <w:szCs w:val="22"/>
        </w:rPr>
        <w:t xml:space="preserve">These fields filter to one year behind the selected year (Select Year - 1):</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 Logic</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PY Sales</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IF YEAR(Order Date) = [Select Year]-1 THEN Sales END</w:t>
            </w:r>
          </w:p>
        </w:tc>
        <w:tc>
          <w:tcPr>
            <w:tcW w:type="dxa" w:w="1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$#,##0K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 Profit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YEAR(Order Date) = [Select Year]-1 THEN Profit END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$#,##0K</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PY Quantity</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IF YEAR(Order Date) = [Select Year]-1 THEN Quantity END</w:t>
            </w:r>
          </w:p>
        </w:tc>
        <w:tc>
          <w:tcPr>
            <w:tcW w:type="dxa" w:w="1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 Customer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COUNTD of Customer ID where year = Select Year-1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Distinct</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PY Orders</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COUNTD of Order ID where year = Select Year-1</w:t>
            </w:r>
          </w:p>
        </w:tc>
        <w:tc>
          <w:tcPr>
            <w:tcW w:type="dxa" w:w="1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Count Distinct</w:t>
            </w:r>
          </w:p>
        </w:tc>
      </w:tr>
    </w:tbl>
    <w:p>
      <w:pPr>
        <w:spacing w:after="120" w:before="120"/>
      </w:pPr>
    </w:p>
    <w:p>
      <w:pPr>
        <w:pStyle w:val="Heading2"/>
        <w:spacing w:after="120" w:before="240"/>
      </w:pPr>
      <w:r>
        <w:rPr>
          <w:rFonts w:ascii="Arial" w:cs="Arial" w:eastAsia="Arial" w:hAnsi="Arial"/>
          <w:b/>
          <w:bCs/>
          <w:color w:val="2E75B6"/>
          <w:sz w:val="28"/>
          <w:szCs w:val="28"/>
        </w:rPr>
        <w:t xml:space="preserve">4.3 Variance &amp; KPI Fields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0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 Logic</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Diff Sales</w:t>
            </w:r>
          </w:p>
        </w:tc>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(SUM(CY Sales) - SUM(PY Sales)) / SUM(PY Sales)</w:t>
            </w:r>
          </w:p>
        </w:tc>
        <w:tc>
          <w:tcPr>
            <w:tcW w:type="dxa" w:w="2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YoY growth rate for sales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diff profit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(SUM(CY Profit) - SUM(PY Profit)) / SUM(PY Profit)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YoY growth rate for profit</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diff Quantity</w:t>
            </w:r>
          </w:p>
        </w:tc>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(SUM(CY Qty) - SUM(PY Qty)) / SUM(PY Qty)</w:t>
            </w:r>
          </w:p>
        </w:tc>
        <w:tc>
          <w:tcPr>
            <w:tcW w:type="dxa" w:w="2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YoY growth rate for quantity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diff customer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(COUNTD(CY Customer) - COUNTD(PY Customer)) / COUNTD(PY Customer)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YoY customer growth</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%diff orders</w:t>
            </w:r>
          </w:p>
        </w:tc>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(COUNTD(CY Orders) - COUNTD(PY Orders)) / COUNTD(PY Orders)</w:t>
            </w:r>
          </w:p>
        </w:tc>
        <w:tc>
          <w:tcPr>
            <w:tcW w:type="dxa" w:w="2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YoY order volume 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CY Less 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'0' if CY Sales &lt; PY Sales, else empty string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 color indicator</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KPI Sales Avg</w:t>
            </w:r>
          </w:p>
        </w:tc>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Returns 'above' or 'below' vs window average</w:t>
            </w:r>
          </w:p>
        </w:tc>
        <w:tc>
          <w:tcPr>
            <w:tcW w:type="dxa" w:w="2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Above/below average badge</w:t>
            </w:r>
          </w:p>
        </w:tc>
      </w:tr>
    </w:tbl>
    <w:p>
      <w:pPr>
        <w:spacing w:after="120" w:before="120"/>
      </w:pPr>
    </w:p>
    <w:p>
      <w:pPr>
        <w:pStyle w:val="Heading2"/>
        <w:spacing w:after="120" w:before="240"/>
      </w:pPr>
      <w:r>
        <w:rPr>
          <w:rFonts w:ascii="Arial" w:cs="Arial" w:eastAsia="Arial" w:hAnsi="Arial"/>
          <w:b/>
          <w:bCs/>
          <w:color w:val="2E75B6"/>
          <w:sz w:val="28"/>
          <w:szCs w:val="28"/>
        </w:rPr>
        <w:t xml:space="preserve">4.4 Min/Max Highlight Fields</w:t>
      </w:r>
    </w:p>
    <w:p>
      <w:pPr>
        <w:spacing w:after="80" w:before="80"/>
      </w:pPr>
      <w:r>
        <w:rPr>
          <w:rFonts w:ascii="Arial" w:cs="Arial" w:eastAsia="Arial" w:hAnsi="Arial"/>
          <w:sz w:val="22"/>
          <w:szCs w:val="22"/>
        </w:rPr>
        <w:t xml:space="preserve">These table calculation fields highlight the highest and lowest performing months in sparkline-style charts:</w:t>
      </w:r>
    </w:p>
    <w:p>
      <w:pPr>
        <w:pStyle w:val="ListParagraph"/>
        <w:numPr>
          <w:ilvl w:val="0"/>
          <w:numId w:val="2"/>
        </w:numPr>
        <w:spacing w:after="60" w:before="60"/>
      </w:pPr>
      <w:r>
        <w:rPr>
          <w:rFonts w:ascii="Arial" w:cs="Arial" w:eastAsia="Arial" w:hAnsi="Arial"/>
          <w:sz w:val="22"/>
          <w:szCs w:val="22"/>
        </w:rPr>
        <w:t xml:space="preserve">Min/Max Sales – Highlights the month with peak or trough CY Sales</w:t>
      </w:r>
    </w:p>
    <w:p>
      <w:pPr>
        <w:pStyle w:val="ListParagraph"/>
        <w:numPr>
          <w:ilvl w:val="0"/>
          <w:numId w:val="2"/>
        </w:numPr>
        <w:spacing w:after="60" w:before="60"/>
      </w:pPr>
      <w:r>
        <w:rPr>
          <w:rFonts w:ascii="Arial" w:cs="Arial" w:eastAsia="Arial" w:hAnsi="Arial"/>
          <w:sz w:val="22"/>
          <w:szCs w:val="22"/>
        </w:rPr>
        <w:t xml:space="preserve">MIN / MAX Profit – Same logic applied to CY Profit</w:t>
      </w:r>
    </w:p>
    <w:p>
      <w:pPr>
        <w:pStyle w:val="ListParagraph"/>
        <w:numPr>
          <w:ilvl w:val="0"/>
          <w:numId w:val="2"/>
        </w:numPr>
        <w:spacing w:after="60" w:before="60"/>
      </w:pPr>
      <w:r>
        <w:rPr>
          <w:rFonts w:ascii="Arial" w:cs="Arial" w:eastAsia="Arial" w:hAnsi="Arial"/>
          <w:sz w:val="22"/>
          <w:szCs w:val="22"/>
        </w:rPr>
        <w:t xml:space="preserve">Min/Max Quantity – Same logic applied to CY Quantity</w:t>
      </w:r>
    </w:p>
    <w:p>
      <w:pPr>
        <w:pStyle w:val="ListParagraph"/>
        <w:numPr>
          <w:ilvl w:val="0"/>
          <w:numId w:val="2"/>
        </w:numPr>
        <w:spacing w:after="60" w:before="60"/>
      </w:pPr>
      <w:r>
        <w:rPr>
          <w:rFonts w:ascii="Arial" w:cs="Arial" w:eastAsia="Arial" w:hAnsi="Arial"/>
          <w:sz w:val="22"/>
          <w:szCs w:val="22"/>
        </w:rPr>
        <w:t xml:space="preserve">MIN/MAX Customer – Peak/trough months for customer count</w:t>
      </w:r>
    </w:p>
    <w:p>
      <w:pPr>
        <w:pStyle w:val="ListParagraph"/>
        <w:numPr>
          <w:ilvl w:val="0"/>
          <w:numId w:val="2"/>
        </w:numPr>
        <w:spacing w:after="60" w:before="60"/>
      </w:pPr>
      <w:r>
        <w:rPr>
          <w:rFonts w:ascii="Arial" w:cs="Arial" w:eastAsia="Arial" w:hAnsi="Arial"/>
          <w:sz w:val="22"/>
          <w:szCs w:val="22"/>
        </w:rPr>
        <w:t xml:space="preserve">MIN/MAX Orders – Peak/trough months for order count</w:t>
      </w:r>
    </w:p>
    <w:p>
      <w:pPr>
        <w:pStyle w:val="ListParagraph"/>
        <w:numPr>
          <w:ilvl w:val="0"/>
          <w:numId w:val="2"/>
        </w:numPr>
        <w:spacing w:after="60" w:before="60"/>
      </w:pPr>
      <w:r>
        <w:rPr>
          <w:rFonts w:ascii="Arial" w:cs="Arial" w:eastAsia="Arial" w:hAnsi="Arial"/>
          <w:sz w:val="22"/>
          <w:szCs w:val="22"/>
        </w:rPr>
        <w:t xml:space="preserve">Min/Max Sales per Customer – Peak/trough for average order value</w:t>
      </w:r>
    </w:p>
    <w:p>
      <w:pPr>
        <w:spacing w:after="80" w:before="80"/>
      </w:pPr>
    </w:p>
    <w:p>
      <w:pPr>
        <w:pStyle w:val="Heading2"/>
        <w:spacing w:after="120" w:before="240"/>
      </w:pPr>
      <w:r>
        <w:rPr>
          <w:rFonts w:ascii="Arial" w:cs="Arial" w:eastAsia="Arial" w:hAnsi="Arial"/>
          <w:b/>
          <w:bCs/>
          <w:color w:val="2E75B6"/>
          <w:sz w:val="28"/>
          <w:szCs w:val="28"/>
        </w:rPr>
        <w:t xml:space="preserve">4.5 Customer Behaviour Metrics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CY Sales per Customers</w:t>
            </w:r>
          </w:p>
        </w:tc>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SUM(CY Sales) / COUNTD(CY Customer)</w:t>
            </w:r>
          </w:p>
        </w:tc>
        <w:tc>
          <w:tcPr>
            <w:tcW w:type="dxa" w:w="2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Average revenue generated per unique customer in the selected year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 Sales per Customer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SUM(PY Sales) / COUNTD(Customer 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 year equivalent for benchmarking</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%diff Sales per customer</w:t>
            </w:r>
          </w:p>
        </w:tc>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(CY Sales/Cust - PY Sales/Cust) / PY Sales/Cust</w:t>
            </w:r>
          </w:p>
        </w:tc>
        <w:tc>
          <w:tcPr>
            <w:tcW w:type="dxa" w:w="2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YoY change in per-customer revenue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Nr of Orders per Cust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[CY Customer] : COUNTD(CY Orders)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LOD calc: how many orders each customer placed in the CY</w:t>
            </w:r>
          </w:p>
        </w:tc>
      </w:tr>
    </w:tbl>
    <w:p>
      <w:pPr>
        <w:spacing w:after="80" w:before="80"/>
      </w:pPr>
    </w:p>
    <w:p>
      <w:pPr>
        <w:pStyle w:val="Heading1"/>
        <w:spacing w:after="180" w:before="360"/>
      </w:pPr>
      <w:r>
        <w:rPr>
          <w:rFonts w:ascii="Arial" w:cs="Arial" w:eastAsia="Arial" w:hAnsi="Arial"/>
          <w:b/>
          <w:bCs/>
          <w:color w:val="1F4E79"/>
          <w:sz w:val="36"/>
          <w:szCs w:val="36"/>
        </w:rPr>
        <w:t xml:space="preserve">5. Worksheets</w:t>
      </w:r>
    </w:p>
    <w:p>
      <w:pPr>
        <w:pBdr>
          <w:bottom w:val="single" w:color="2E75B6" w:sz="4" w:space="1"/>
        </w:pBdr>
        <w:spacing w:after="120" w:before="120"/>
      </w:pPr>
    </w:p>
    <w:p>
      <w:pPr>
        <w:spacing w:after="80" w:before="80"/>
      </w:pPr>
      <w:r>
        <w:rPr>
          <w:rFonts w:ascii="Arial" w:cs="Arial" w:eastAsia="Arial" w:hAnsi="Arial"/>
          <w:sz w:val="22"/>
          <w:szCs w:val="22"/>
        </w:rPr>
        <w:t xml:space="preserve">The workbook contains 12 worksheets. Each worksheet is optimised for a single analytical purpose and is embedded in one or both dashboards.</w:t>
      </w:r>
    </w:p>
    <w:p>
      <w:pPr>
        <w:spacing w:after="120" w:before="120"/>
      </w:pPr>
    </w:p>
    <w:p>
      <w:pPr>
        <w:pStyle w:val="Heading2"/>
        <w:spacing w:after="120" w:before="240"/>
      </w:pPr>
      <w:r>
        <w:rPr>
          <w:rFonts w:ascii="Arial" w:cs="Arial" w:eastAsia="Arial" w:hAnsi="Arial"/>
          <w:b/>
          <w:bCs/>
          <w:color w:val="2E75B6"/>
          <w:sz w:val="28"/>
          <w:szCs w:val="28"/>
        </w:rPr>
        <w:t xml:space="preserve">5.1 KPI Sales</w:t>
      </w:r>
    </w:p>
    <w:p>
      <w:pPr>
        <w:spacing w:after="80" w:before="80"/>
      </w:pPr>
      <w:r>
        <w:rPr>
          <w:rFonts w:ascii="Arial" w:cs="Arial" w:eastAsia="Arial" w:hAnsi="Arial"/>
          <w:sz w:val="22"/>
          <w:szCs w:val="22"/>
        </w:rPr>
        <w:t xml:space="preserve">Displays three KPI metrics in a sparkline-style bar chart: CY Sales, PY Sales, and monthly trend bars. The Min/Max Sales field highlights the highest and lowest months in a contrasting colour. Percentage difference (% Diff Sales) is shown as a label. Used in: Sales Dashboard.</w:t>
      </w:r>
    </w:p>
    <w:p>
      <w:pPr>
        <w:spacing w:after="80" w:before="80"/>
      </w:pPr>
    </w:p>
    <w:p>
      <w:pPr>
        <w:pStyle w:val="Heading2"/>
        <w:spacing w:after="120" w:before="240"/>
      </w:pPr>
      <w:r>
        <w:rPr>
          <w:rFonts w:ascii="Arial" w:cs="Arial" w:eastAsia="Arial" w:hAnsi="Arial"/>
          <w:b/>
          <w:bCs/>
          <w:color w:val="2E75B6"/>
          <w:sz w:val="28"/>
          <w:szCs w:val="28"/>
        </w:rPr>
        <w:t xml:space="preserve">5.2 KPI Profit</w:t>
      </w:r>
    </w:p>
    <w:p>
      <w:pPr>
        <w:spacing w:after="80" w:before="80"/>
      </w:pPr>
      <w:r>
        <w:rPr>
          <w:rFonts w:ascii="Arial" w:cs="Arial" w:eastAsia="Arial" w:hAnsi="Arial"/>
          <w:sz w:val="22"/>
          <w:szCs w:val="22"/>
        </w:rPr>
        <w:t xml:space="preserve">Mirrors the KPI Sales layout but for profitability. Shows CY Profit vs PY Profit with the % diff profit variance. KPI Profit AVG badge indicates if the current period is above or below the annual average. Used in: Sales Dashboard.</w:t>
      </w:r>
    </w:p>
    <w:p>
      <w:pPr>
        <w:spacing w:after="80" w:before="80"/>
      </w:pPr>
    </w:p>
    <w:p>
      <w:pPr>
        <w:pStyle w:val="Heading2"/>
        <w:spacing w:after="120" w:before="240"/>
      </w:pPr>
      <w:r>
        <w:rPr>
          <w:rFonts w:ascii="Arial" w:cs="Arial" w:eastAsia="Arial" w:hAnsi="Arial"/>
          <w:b/>
          <w:bCs/>
          <w:color w:val="2E75B6"/>
          <w:sz w:val="28"/>
          <w:szCs w:val="28"/>
        </w:rPr>
        <w:t xml:space="preserve">5.3 KPI Quantity</w:t>
      </w:r>
    </w:p>
    <w:p>
      <w:pPr>
        <w:spacing w:after="80" w:before="80"/>
      </w:pPr>
      <w:r>
        <w:rPr>
          <w:rFonts w:ascii="Arial" w:cs="Arial" w:eastAsia="Arial" w:hAnsi="Arial"/>
          <w:sz w:val="22"/>
          <w:szCs w:val="22"/>
        </w:rPr>
        <w:t xml:space="preserve">Tracks units sold (CY Quantity vs PY Quantity) with % diff Quantity variance. The Min/Max Quantity field highlights peak and trough months in the bar chart, aiding seasonal analysis. Used in: Sales Dashboard.</w:t>
      </w:r>
    </w:p>
    <w:p>
      <w:pPr>
        <w:spacing w:after="80" w:before="80"/>
      </w:pPr>
    </w:p>
    <w:p>
      <w:pPr>
        <w:pStyle w:val="Heading2"/>
        <w:spacing w:after="120" w:before="240"/>
      </w:pPr>
      <w:r>
        <w:rPr>
          <w:rFonts w:ascii="Arial" w:cs="Arial" w:eastAsia="Arial" w:hAnsi="Arial"/>
          <w:b/>
          <w:bCs/>
          <w:color w:val="2E75B6"/>
          <w:sz w:val="28"/>
          <w:szCs w:val="28"/>
        </w:rPr>
        <w:t xml:space="preserve">5.4 Subcategories Compare</w:t>
      </w:r>
    </w:p>
    <w:p>
      <w:pPr>
        <w:spacing w:after="80" w:before="80"/>
      </w:pPr>
      <w:r>
        <w:rPr>
          <w:rFonts w:ascii="Arial" w:cs="Arial" w:eastAsia="Arial" w:hAnsi="Arial"/>
          <w:sz w:val="22"/>
          <w:szCs w:val="22"/>
        </w:rPr>
        <w:t xml:space="preserve">A horizontal bar chart comparing Sales and Profit across every product sub-category for the selected year versus the prior year. Provides a quick visual ranking of which sub-categories are growing or declining. Supports filter actions from the Legends of subcategory sheet. Used in: Sales Dashboard.</w:t>
      </w:r>
    </w:p>
    <w:p>
      <w:pPr>
        <w:spacing w:after="80" w:before="80"/>
      </w:pPr>
    </w:p>
    <w:p>
      <w:pPr>
        <w:pStyle w:val="Heading2"/>
        <w:spacing w:after="120" w:before="240"/>
      </w:pPr>
      <w:r>
        <w:rPr>
          <w:rFonts w:ascii="Arial" w:cs="Arial" w:eastAsia="Arial" w:hAnsi="Arial"/>
          <w:b/>
          <w:bCs/>
          <w:color w:val="2E75B6"/>
          <w:sz w:val="28"/>
          <w:szCs w:val="28"/>
        </w:rPr>
        <w:t xml:space="preserve">5.5 Weekly Trends</w:t>
      </w:r>
    </w:p>
    <w:p>
      <w:pPr>
        <w:spacing w:after="80" w:before="80"/>
      </w:pPr>
      <w:r>
        <w:rPr>
          <w:rFonts w:ascii="Arial" w:cs="Arial" w:eastAsia="Arial" w:hAnsi="Arial"/>
          <w:sz w:val="22"/>
          <w:szCs w:val="22"/>
        </w:rPr>
        <w:t xml:space="preserve">A time-series line chart showing weekly sales trends for both Current Year and Prior Year on the same axis. Enables week-by-week comparison to identify seasonal spikes, promotional impacts, or anomalies. Used in: Sales Dashboard.</w:t>
      </w:r>
    </w:p>
    <w:p>
      <w:pPr>
        <w:spacing w:after="80" w:before="80"/>
      </w:pPr>
    </w:p>
    <w:p>
      <w:pPr>
        <w:pStyle w:val="Heading2"/>
        <w:spacing w:after="120" w:before="240"/>
      </w:pPr>
      <w:r>
        <w:rPr>
          <w:rFonts w:ascii="Arial" w:cs="Arial" w:eastAsia="Arial" w:hAnsi="Arial"/>
          <w:b/>
          <w:bCs/>
          <w:color w:val="2E75B6"/>
          <w:sz w:val="28"/>
          <w:szCs w:val="28"/>
        </w:rPr>
        <w:t xml:space="preserve">5.6 Legends of subcategory</w:t>
      </w:r>
    </w:p>
    <w:p>
      <w:pPr>
        <w:spacing w:after="80" w:before="80"/>
      </w:pPr>
      <w:r>
        <w:rPr>
          <w:rFonts w:ascii="Arial" w:cs="Arial" w:eastAsia="Arial" w:hAnsi="Arial"/>
          <w:sz w:val="22"/>
          <w:szCs w:val="22"/>
        </w:rPr>
        <w:t xml:space="preserve">A colour legend sheet that acts as an interactive filter controller. Selecting a sub-category here filters the Subcategories Compare chart via a dashboard filter action. Used in: Sales Dashboard.</w:t>
      </w:r>
    </w:p>
    <w:p>
      <w:pPr>
        <w:spacing w:after="80" w:before="80"/>
      </w:pPr>
    </w:p>
    <w:p>
      <w:pPr>
        <w:pStyle w:val="Heading2"/>
        <w:spacing w:after="120" w:before="240"/>
      </w:pPr>
      <w:r>
        <w:rPr>
          <w:rFonts w:ascii="Arial" w:cs="Arial" w:eastAsia="Arial" w:hAnsi="Arial"/>
          <w:b/>
          <w:bCs/>
          <w:color w:val="2E75B6"/>
          <w:sz w:val="28"/>
          <w:szCs w:val="28"/>
        </w:rPr>
        <w:t xml:space="preserve">5.7 Legend KPT</w:t>
      </w:r>
    </w:p>
    <w:p>
      <w:pPr>
        <w:spacing w:after="80" w:before="80"/>
      </w:pPr>
      <w:r>
        <w:rPr>
          <w:rFonts w:ascii="Arial" w:cs="Arial" w:eastAsia="Arial" w:hAnsi="Arial"/>
          <w:sz w:val="22"/>
          <w:szCs w:val="22"/>
        </w:rPr>
        <w:t xml:space="preserve">A static legend explaining KPI indicator colours (e.g., what the 'above/below average' or positive/negative variance colour coding means). Shared across both dashboards for visual consistency.</w:t>
      </w:r>
    </w:p>
    <w:p>
      <w:pPr>
        <w:spacing w:after="80" w:before="80"/>
      </w:pPr>
    </w:p>
    <w:p>
      <w:pPr>
        <w:pStyle w:val="Heading2"/>
        <w:spacing w:after="120" w:before="240"/>
      </w:pPr>
      <w:r>
        <w:rPr>
          <w:rFonts w:ascii="Arial" w:cs="Arial" w:eastAsia="Arial" w:hAnsi="Arial"/>
          <w:b/>
          <w:bCs/>
          <w:color w:val="2E75B6"/>
          <w:sz w:val="28"/>
          <w:szCs w:val="28"/>
        </w:rPr>
        <w:t xml:space="preserve">5.8 KPI Customers</w:t>
      </w:r>
    </w:p>
    <w:p>
      <w:pPr>
        <w:spacing w:after="80" w:before="80"/>
      </w:pPr>
      <w:r>
        <w:rPr>
          <w:rFonts w:ascii="Arial" w:cs="Arial" w:eastAsia="Arial" w:hAnsi="Arial"/>
          <w:sz w:val="22"/>
          <w:szCs w:val="22"/>
        </w:rPr>
        <w:t xml:space="preserve">KPI card showing CY Customer count vs PY Customer count with % diff customer variance. Uses the same Min/Max Customer sparkline pattern. Used in: Customer Dashboard.</w:t>
      </w:r>
    </w:p>
    <w:p>
      <w:pPr>
        <w:spacing w:after="80" w:before="80"/>
      </w:pPr>
    </w:p>
    <w:p>
      <w:pPr>
        <w:pStyle w:val="Heading2"/>
        <w:spacing w:after="120" w:before="240"/>
      </w:pPr>
      <w:r>
        <w:rPr>
          <w:rFonts w:ascii="Arial" w:cs="Arial" w:eastAsia="Arial" w:hAnsi="Arial"/>
          <w:b/>
          <w:bCs/>
          <w:color w:val="2E75B6"/>
          <w:sz w:val="28"/>
          <w:szCs w:val="28"/>
        </w:rPr>
        <w:t xml:space="preserve">5.9 KPI Orders</w:t>
      </w:r>
    </w:p>
    <w:p>
      <w:pPr>
        <w:spacing w:after="80" w:before="80"/>
      </w:pPr>
      <w:r>
        <w:rPr>
          <w:rFonts w:ascii="Arial" w:cs="Arial" w:eastAsia="Arial" w:hAnsi="Arial"/>
          <w:sz w:val="22"/>
          <w:szCs w:val="22"/>
        </w:rPr>
        <w:t xml:space="preserve">KPI card for total number of orders (CY Orders vs PY Orders) with %diff orders. Helps track whether the business is generating more or fewer transactions, independent of revenue size. Used in: Both Dashboards.</w:t>
      </w:r>
    </w:p>
    <w:p>
      <w:pPr>
        <w:spacing w:after="80" w:before="80"/>
      </w:pPr>
    </w:p>
    <w:p>
      <w:pPr>
        <w:pStyle w:val="Heading2"/>
        <w:spacing w:after="120" w:before="240"/>
      </w:pPr>
      <w:r>
        <w:rPr>
          <w:rFonts w:ascii="Arial" w:cs="Arial" w:eastAsia="Arial" w:hAnsi="Arial"/>
          <w:b/>
          <w:bCs/>
          <w:color w:val="2E75B6"/>
          <w:sz w:val="28"/>
          <w:szCs w:val="28"/>
        </w:rPr>
        <w:t xml:space="preserve">5.10 KPI Sales/Customer</w:t>
      </w:r>
    </w:p>
    <w:p>
      <w:pPr>
        <w:spacing w:after="80" w:before="80"/>
      </w:pPr>
      <w:r>
        <w:rPr>
          <w:rFonts w:ascii="Arial" w:cs="Arial" w:eastAsia="Arial" w:hAnsi="Arial"/>
          <w:sz w:val="22"/>
          <w:szCs w:val="22"/>
        </w:rPr>
        <w:t xml:space="preserve">Displays the Sales per Customer metric (CY vs PY) with the %diff Sales per customer variance. This efficiency metric reveals whether average transaction value is increasing even if customer count is flat. Used in: Customer Dashboard.</w:t>
      </w:r>
    </w:p>
    <w:p>
      <w:pPr>
        <w:spacing w:after="80" w:before="80"/>
      </w:pPr>
    </w:p>
    <w:p>
      <w:pPr>
        <w:pStyle w:val="Heading2"/>
        <w:spacing w:after="120" w:before="240"/>
      </w:pPr>
      <w:r>
        <w:rPr>
          <w:rFonts w:ascii="Arial" w:cs="Arial" w:eastAsia="Arial" w:hAnsi="Arial"/>
          <w:b/>
          <w:bCs/>
          <w:color w:val="2E75B6"/>
          <w:sz w:val="28"/>
          <w:szCs w:val="28"/>
        </w:rPr>
        <w:t xml:space="preserve">5.11 Customer Distribution</w:t>
      </w:r>
    </w:p>
    <w:p>
      <w:pPr>
        <w:spacing w:after="80" w:before="80"/>
      </w:pPr>
      <w:r>
        <w:rPr>
          <w:rFonts w:ascii="Arial" w:cs="Arial" w:eastAsia="Arial" w:hAnsi="Arial"/>
          <w:sz w:val="22"/>
          <w:szCs w:val="22"/>
        </w:rPr>
        <w:t xml:space="preserve">A distribution chart (likely a histogram or scatter) showing how customers are spread across order value or frequency bands. Helps identify high-value customer segments vs. one-time buyers. Used in: Customer Dashboard.</w:t>
      </w:r>
    </w:p>
    <w:p>
      <w:pPr>
        <w:spacing w:after="80" w:before="80"/>
      </w:pPr>
    </w:p>
    <w:p>
      <w:pPr>
        <w:pStyle w:val="Heading2"/>
        <w:spacing w:after="120" w:before="240"/>
      </w:pPr>
      <w:r>
        <w:rPr>
          <w:rFonts w:ascii="Arial" w:cs="Arial" w:eastAsia="Arial" w:hAnsi="Arial"/>
          <w:b/>
          <w:bCs/>
          <w:color w:val="2E75B6"/>
          <w:sz w:val="28"/>
          <w:szCs w:val="28"/>
        </w:rPr>
        <w:t xml:space="preserve">5.12 Nr of Orders per Customer</w:t>
      </w:r>
    </w:p>
    <w:p>
      <w:pPr>
        <w:spacing w:after="80" w:before="80"/>
      </w:pPr>
      <w:r>
        <w:rPr>
          <w:rFonts w:ascii="Arial" w:cs="Arial" w:eastAsia="Arial" w:hAnsi="Arial"/>
          <w:sz w:val="22"/>
          <w:szCs w:val="22"/>
        </w:rPr>
        <w:t xml:space="preserve">Uses the LOD calculated field Nr of Orders per Cust (FIXED by Customer ID) to show how many orders each customer placed in the selected year. Helps identify loyal repeat buyers vs. single-purchase customers. Used in: Customer Dashboard.</w:t>
      </w:r>
    </w:p>
    <w:p>
      <w:pPr>
        <w:spacing w:after="80" w:before="80"/>
      </w:pPr>
    </w:p>
    <w:p>
      <w:pPr>
        <w:pStyle w:val="Heading1"/>
        <w:spacing w:after="180" w:before="360"/>
      </w:pPr>
      <w:r>
        <w:rPr>
          <w:rFonts w:ascii="Arial" w:cs="Arial" w:eastAsia="Arial" w:hAnsi="Arial"/>
          <w:b/>
          <w:bCs/>
          <w:color w:val="1F4E79"/>
          <w:sz w:val="36"/>
          <w:szCs w:val="36"/>
        </w:rPr>
        <w:t xml:space="preserve">6. Dashboards</w:t>
      </w:r>
    </w:p>
    <w:p>
      <w:pPr>
        <w:pBdr>
          <w:bottom w:val="single" w:color="2E75B6" w:sz="4" w:space="1"/>
        </w:pBdr>
        <w:spacing w:after="120" w:before="120"/>
      </w:pPr>
    </w:p>
    <w:p>
      <w:pPr>
        <w:pStyle w:val="Heading2"/>
        <w:spacing w:after="120" w:before="240"/>
      </w:pPr>
      <w:r>
        <w:rPr>
          <w:rFonts w:ascii="Arial" w:cs="Arial" w:eastAsia="Arial" w:hAnsi="Arial"/>
          <w:b/>
          <w:bCs/>
          <w:color w:val="2E75B6"/>
          <w:sz w:val="28"/>
          <w:szCs w:val="28"/>
        </w:rPr>
        <w:t xml:space="preserve">6.1 Sales Dashboard</w:t>
      </w:r>
    </w:p>
    <w:p>
      <w:pPr>
        <w:spacing w:after="80" w:before="80"/>
      </w:pPr>
      <w:r>
        <w:rPr>
          <w:rFonts w:ascii="Arial" w:cs="Arial" w:eastAsia="Arial" w:hAnsi="Arial"/>
          <w:sz w:val="22"/>
          <w:szCs w:val="22"/>
        </w:rPr>
        <w:t xml:space="preserve">The Sales Dashboard is the primary performance view for revenue and product analysis. It is structured in three horizontal bands: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Header Bar</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Company logo + Select Year parameter control</w:t>
            </w:r>
          </w:p>
        </w:tc>
        <w:tc>
          <w:tcPr>
            <w:tcW w:type="dxa" w:w="2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Branding and year selection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Row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Sales | KPI Quantity | KPI Profit (3 equal panels)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At-a-glance metric scorecards with YoY sparklines</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Analysis Row Left</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Legends of subcategory + Subcategories Compare</w:t>
            </w:r>
          </w:p>
        </w:tc>
        <w:tc>
          <w:tcPr>
            <w:tcW w:type="dxa" w:w="2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Product performance by sub-category with interactive filter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Row Right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Trends chart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sales pattern by week, CY vs PY</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Side Panel</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Year navigator / filter sliders</w:t>
            </w:r>
          </w:p>
        </w:tc>
        <w:tc>
          <w:tcPr>
            <w:tcW w:type="dxa" w:w="2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Additional drill-down controls</w:t>
            </w:r>
          </w:p>
        </w:tc>
      </w:tr>
    </w:tbl>
    <w:p>
      <w:pPr>
        <w:spacing w:after="80" w:before="120"/>
      </w:pPr>
    </w:p>
    <w:p>
      <w:pPr>
        <w:pStyle w:val="Heading3"/>
        <w:spacing w:after="100" w:before="200"/>
      </w:pPr>
      <w:r>
        <w:rPr>
          <w:rFonts w:ascii="Arial" w:cs="Arial" w:eastAsia="Arial" w:hAnsi="Arial"/>
          <w:b/>
          <w:bCs/>
          <w:color w:val="375A7F"/>
          <w:sz w:val="24"/>
          <w:szCs w:val="24"/>
        </w:rPr>
        <w:t xml:space="preserve">Filter Actions on Sales Dashboard</w:t>
      </w:r>
    </w:p>
    <w:p>
      <w:pPr>
        <w:pStyle w:val="ListParagraph"/>
        <w:numPr>
          <w:ilvl w:val="0"/>
          <w:numId w:val="2"/>
        </w:numPr>
        <w:spacing w:after="60" w:before="60"/>
      </w:pPr>
      <w:r>
        <w:rPr>
          <w:rFonts w:ascii="Arial" w:cs="Arial" w:eastAsia="Arial" w:hAnsi="Arial"/>
          <w:sz w:val="22"/>
          <w:szCs w:val="22"/>
        </w:rPr>
        <w:t xml:space="preserve">Clicking a sub-category in Legends of subcategory filters the Subcategories Compare bar chart</w:t>
      </w:r>
    </w:p>
    <w:p>
      <w:pPr>
        <w:pStyle w:val="ListParagraph"/>
        <w:numPr>
          <w:ilvl w:val="0"/>
          <w:numId w:val="2"/>
        </w:numPr>
        <w:spacing w:after="60" w:before="60"/>
      </w:pPr>
      <w:r>
        <w:rPr>
          <w:rFonts w:ascii="Arial" w:cs="Arial" w:eastAsia="Arial" w:hAnsi="Arial"/>
          <w:sz w:val="22"/>
          <w:szCs w:val="22"/>
        </w:rPr>
        <w:t xml:space="preserve">Month-level filter actions link KPI sparklines to the Weekly Trends chart</w:t>
      </w:r>
    </w:p>
    <w:p>
      <w:pPr>
        <w:pStyle w:val="ListParagraph"/>
        <w:numPr>
          <w:ilvl w:val="0"/>
          <w:numId w:val="2"/>
        </w:numPr>
        <w:spacing w:after="60" w:before="60"/>
      </w:pPr>
      <w:r>
        <w:rPr>
          <w:rFonts w:ascii="Arial" w:cs="Arial" w:eastAsia="Arial" w:hAnsi="Arial"/>
          <w:sz w:val="22"/>
          <w:szCs w:val="22"/>
        </w:rPr>
        <w:t xml:space="preserve">The Select Year parameter refreshes all three KPI cards and both bottom charts simultaneously</w:t>
      </w:r>
    </w:p>
    <w:p>
      <w:pPr>
        <w:spacing w:after="80" w:before="80"/>
      </w:pPr>
    </w:p>
    <w:p>
      <w:pPr>
        <w:pStyle w:val="Heading2"/>
        <w:spacing w:after="120" w:before="240"/>
      </w:pPr>
      <w:r>
        <w:rPr>
          <w:rFonts w:ascii="Arial" w:cs="Arial" w:eastAsia="Arial" w:hAnsi="Arial"/>
          <w:b/>
          <w:bCs/>
          <w:color w:val="2E75B6"/>
          <w:sz w:val="28"/>
          <w:szCs w:val="28"/>
        </w:rPr>
        <w:t xml:space="preserve">6.2 Customer Dashboard</w:t>
      </w:r>
    </w:p>
    <w:p>
      <w:pPr>
        <w:spacing w:after="80" w:before="80"/>
      </w:pPr>
      <w:r>
        <w:rPr>
          <w:rFonts w:ascii="Arial" w:cs="Arial" w:eastAsia="Arial" w:hAnsi="Arial"/>
          <w:sz w:val="22"/>
          <w:szCs w:val="22"/>
        </w:rPr>
        <w:t xml:space="preserve">The Customer Dashboard focuses on customer behaviour and engagement metrics: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Header Bar</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Company logo + Select Year parameter control</w:t>
            </w:r>
          </w:p>
        </w:tc>
        <w:tc>
          <w:tcPr>
            <w:tcW w:type="dxa" w:w="2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Consistent navigation with Sales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Row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Orders | KPI Sales/Customer | KPI Customers (3 panels)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Customer-centric KPI scorecards</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Analysis Row Left</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Customer Distribution chart</w:t>
            </w:r>
          </w:p>
        </w:tc>
        <w:tc>
          <w:tcPr>
            <w:tcW w:type="dxa" w:w="2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Visual spread of customers by value or frequency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Row Right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Nr of Orders per Customer chart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Loyalty and repeat-purchase analysis</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Side Panel</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Year navigator</w:t>
            </w:r>
          </w:p>
        </w:tc>
        <w:tc>
          <w:tcPr>
            <w:tcW w:type="dxa" w:w="2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Year-level filtering</w:t>
            </w:r>
          </w:p>
        </w:tc>
      </w:tr>
    </w:tbl>
    <w:p>
      <w:pPr>
        <w:spacing w:after="80" w:before="120"/>
      </w:pPr>
    </w:p>
    <w:p>
      <w:pPr>
        <w:pStyle w:val="Heading3"/>
        <w:spacing w:after="100" w:before="200"/>
      </w:pPr>
      <w:r>
        <w:rPr>
          <w:rFonts w:ascii="Arial" w:cs="Arial" w:eastAsia="Arial" w:hAnsi="Arial"/>
          <w:b/>
          <w:bCs/>
          <w:color w:val="375A7F"/>
          <w:sz w:val="24"/>
          <w:szCs w:val="24"/>
        </w:rPr>
        <w:t xml:space="preserve">Filter Actions on Customer Dashboard</w:t>
      </w:r>
    </w:p>
    <w:p>
      <w:pPr>
        <w:pStyle w:val="ListParagraph"/>
        <w:numPr>
          <w:ilvl w:val="0"/>
          <w:numId w:val="2"/>
        </w:numPr>
        <w:spacing w:after="60" w:before="60"/>
      </w:pPr>
      <w:r>
        <w:rPr>
          <w:rFonts w:ascii="Arial" w:cs="Arial" w:eastAsia="Arial" w:hAnsi="Arial"/>
          <w:sz w:val="22"/>
          <w:szCs w:val="22"/>
        </w:rPr>
        <w:t xml:space="preserve">Selecting a customer in KPI Customers filters both the Customer Distribution and Nr of Orders per Customer views</w:t>
      </w:r>
    </w:p>
    <w:p>
      <w:pPr>
        <w:pStyle w:val="ListParagraph"/>
        <w:numPr>
          <w:ilvl w:val="0"/>
          <w:numId w:val="2"/>
        </w:numPr>
        <w:spacing w:after="60" w:before="60"/>
      </w:pPr>
      <w:r>
        <w:rPr>
          <w:rFonts w:ascii="Arial" w:cs="Arial" w:eastAsia="Arial" w:hAnsi="Arial"/>
          <w:sz w:val="22"/>
          <w:szCs w:val="22"/>
        </w:rPr>
        <w:t xml:space="preserve">Month-level actions connect KPI sparklines to the distribution charts</w:t>
      </w:r>
    </w:p>
    <w:p>
      <w:pPr>
        <w:spacing w:after="80" w:before="80"/>
      </w:pPr>
    </w:p>
    <w:p>
      <w:pPr>
        <w:pStyle w:val="Heading1"/>
        <w:spacing w:after="180" w:before="360"/>
      </w:pPr>
      <w:r>
        <w:rPr>
          <w:rFonts w:ascii="Arial" w:cs="Arial" w:eastAsia="Arial" w:hAnsi="Arial"/>
          <w:b/>
          <w:bCs/>
          <w:color w:val="1F4E79"/>
          <w:sz w:val="36"/>
          <w:szCs w:val="36"/>
        </w:rPr>
        <w:t xml:space="preserve">7. Interactivity &amp; Filter Actions</w:t>
      </w:r>
    </w:p>
    <w:p>
      <w:pPr>
        <w:pBdr>
          <w:bottom w:val="single" w:color="2E75B6" w:sz="4" w:space="1"/>
        </w:pBdr>
        <w:spacing w:after="120" w:before="120"/>
      </w:pPr>
    </w:p>
    <w:p>
      <w:pPr>
        <w:spacing w:after="80" w:before="80"/>
      </w:pPr>
      <w:r>
        <w:rPr>
          <w:rFonts w:ascii="Arial" w:cs="Arial" w:eastAsia="Arial" w:hAnsi="Arial"/>
          <w:sz w:val="22"/>
          <w:szCs w:val="22"/>
        </w:rPr>
        <w:t xml:space="preserve">The workbook uses Tableau filter actions to create a fully linked, interactive experience. All actions are auto-generated by Tableau based on the dashboard layout. Key action groups include:</w:t>
      </w:r>
    </w:p>
    <w:p>
      <w:pPr>
        <w:spacing w:after="120" w:before="12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1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Name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Sheet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Filter Fields</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Filter 1 (generated)</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KPI Customers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Customer Dashboard</w:t>
            </w:r>
          </w:p>
        </w:tc>
        <w:tc>
          <w:tcPr>
            <w:tcW w:type="dxa" w:w="1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KPI Customers worksheet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10 (generated)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Customers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Dashboard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Customer-level fields</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Month filter actions</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KPI Sales / Profit / Qty</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Weekly Trends</w:t>
            </w:r>
          </w:p>
        </w:tc>
        <w:tc>
          <w:tcPr>
            <w:tcW w:type="dxa" w:w="1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MONTH(Order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Sub-category filter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Legends of subcategory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Subcategories Compare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Sub-Category</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Customer name filter</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Customer Distribution</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Nr of Orders per Customer</w:t>
            </w:r>
          </w:p>
        </w:tc>
        <w:tc>
          <w:tcPr>
            <w:tcW w:type="dxa" w:w="1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Customer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filter actions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Trends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sheets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WEEK(Order Date)</w:t>
            </w:r>
          </w:p>
        </w:tc>
      </w:tr>
    </w:tbl>
    <w:p>
      <w:pPr>
        <w:spacing w:after="80" w:before="80"/>
      </w:pPr>
    </w:p>
    <w:p>
      <w:pPr>
        <w:pStyle w:val="Heading1"/>
        <w:spacing w:after="180" w:before="360"/>
      </w:pPr>
      <w:r>
        <w:rPr>
          <w:rFonts w:ascii="Arial" w:cs="Arial" w:eastAsia="Arial" w:hAnsi="Arial"/>
          <w:b/>
          <w:bCs/>
          <w:color w:val="1F4E79"/>
          <w:sz w:val="36"/>
          <w:szCs w:val="36"/>
        </w:rPr>
        <w:t xml:space="preserve">8. Technical Specifications</w:t>
      </w:r>
    </w:p>
    <w:p>
      <w:pPr>
        <w:pBdr>
          <w:bottom w:val="single" w:color="2E75B6" w:sz="4" w:space="1"/>
        </w:pBdr>
        <w:spacing w:after="120" w:before="12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File Format</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Tableau Workbook (.twb) – XML-based, not packaged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2026.1 (build 20261.26.0226.1626)</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Workbook Version</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18.1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File Size</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~567 KB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Connection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Federated (multiple CSV files joined)</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Data Locale</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en_IN (India)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Symbol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(Indian Rupee)</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File Delimiter</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Semicolon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Dashboards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(Sales Dashboard, Customer Dashboard)</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Number of Worksheets</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Calculated Fields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Parameters</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 (Select Year: 2020–2023)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Files Location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T:/DAAA/Code with Barrer/Tableau/sales-dashboard-project/datasets/non-eu</w:t>
            </w:r>
          </w:p>
        </w:tc>
      </w:tr>
    </w:tbl>
    <w:p>
      <w:pPr>
        <w:spacing w:after="80" w:before="80"/>
      </w:pPr>
    </w:p>
    <w:p>
      <w:pPr>
        <w:pStyle w:val="Heading1"/>
        <w:spacing w:after="180" w:before="360"/>
      </w:pPr>
      <w:r>
        <w:rPr>
          <w:rFonts w:ascii="Arial" w:cs="Arial" w:eastAsia="Arial" w:hAnsi="Arial"/>
          <w:b/>
          <w:bCs/>
          <w:color w:val="1F4E79"/>
          <w:sz w:val="36"/>
          <w:szCs w:val="36"/>
        </w:rPr>
        <w:t xml:space="preserve">9. Key Business Insights Enabled</w:t>
      </w:r>
    </w:p>
    <w:p>
      <w:pPr>
        <w:pBdr>
          <w:bottom w:val="single" w:color="2E75B6" w:sz="4" w:space="1"/>
        </w:pBdr>
        <w:spacing w:after="120" w:before="120"/>
      </w:pPr>
    </w:p>
    <w:p>
      <w:pPr>
        <w:spacing w:after="80" w:before="80"/>
      </w:pPr>
      <w:r>
        <w:rPr>
          <w:rFonts w:ascii="Arial" w:cs="Arial" w:eastAsia="Arial" w:hAnsi="Arial"/>
          <w:sz w:val="22"/>
          <w:szCs w:val="22"/>
        </w:rPr>
        <w:t xml:space="preserve">The dashboards collectively enable the following business questions to be answered at a glance:</w:t>
      </w:r>
    </w:p>
    <w:p>
      <w:pPr>
        <w:spacing w:after="80" w:before="80"/>
      </w:pPr>
    </w:p>
    <w:p>
      <w:pPr>
        <w:pStyle w:val="Heading3"/>
        <w:spacing w:after="100" w:before="200"/>
      </w:pPr>
      <w:r>
        <w:rPr>
          <w:rFonts w:ascii="Arial" w:cs="Arial" w:eastAsia="Arial" w:hAnsi="Arial"/>
          <w:b/>
          <w:bCs/>
          <w:color w:val="375A7F"/>
          <w:sz w:val="24"/>
          <w:szCs w:val="24"/>
        </w:rPr>
        <w:t xml:space="preserve">Sales Performance</w:t>
      </w:r>
    </w:p>
    <w:p>
      <w:pPr>
        <w:pStyle w:val="ListParagraph"/>
        <w:numPr>
          <w:ilvl w:val="0"/>
          <w:numId w:val="2"/>
        </w:numPr>
        <w:spacing w:after="60" w:before="60"/>
      </w:pPr>
      <w:r>
        <w:rPr>
          <w:rFonts w:ascii="Arial" w:cs="Arial" w:eastAsia="Arial" w:hAnsi="Arial"/>
          <w:sz w:val="22"/>
          <w:szCs w:val="22"/>
        </w:rPr>
        <w:t xml:space="preserve">Is total revenue higher or lower than the previous year? (% Diff Sales)</w:t>
      </w:r>
    </w:p>
    <w:p>
      <w:pPr>
        <w:pStyle w:val="ListParagraph"/>
        <w:numPr>
          <w:ilvl w:val="0"/>
          <w:numId w:val="2"/>
        </w:numPr>
        <w:spacing w:after="60" w:before="60"/>
      </w:pPr>
      <w:r>
        <w:rPr>
          <w:rFonts w:ascii="Arial" w:cs="Arial" w:eastAsia="Arial" w:hAnsi="Arial"/>
          <w:sz w:val="22"/>
          <w:szCs w:val="22"/>
        </w:rPr>
        <w:t xml:space="preserve">Which months achieved peak and trough sales? (Min/Max Sales sparklines)</w:t>
      </w:r>
    </w:p>
    <w:p>
      <w:pPr>
        <w:pStyle w:val="ListParagraph"/>
        <w:numPr>
          <w:ilvl w:val="0"/>
          <w:numId w:val="2"/>
        </w:numPr>
        <w:spacing w:after="60" w:before="60"/>
      </w:pPr>
      <w:r>
        <w:rPr>
          <w:rFonts w:ascii="Arial" w:cs="Arial" w:eastAsia="Arial" w:hAnsi="Arial"/>
          <w:sz w:val="22"/>
          <w:szCs w:val="22"/>
        </w:rPr>
        <w:t xml:space="preserve">Are we above or below our average sales pace this year? (KPI Sales Avg badge)</w:t>
      </w:r>
    </w:p>
    <w:p>
      <w:pPr>
        <w:spacing w:after="80" w:before="80"/>
      </w:pPr>
    </w:p>
    <w:p>
      <w:pPr>
        <w:pStyle w:val="Heading3"/>
        <w:spacing w:after="100" w:before="200"/>
      </w:pPr>
      <w:r>
        <w:rPr>
          <w:rFonts w:ascii="Arial" w:cs="Arial" w:eastAsia="Arial" w:hAnsi="Arial"/>
          <w:b/>
          <w:bCs/>
          <w:color w:val="375A7F"/>
          <w:sz w:val="24"/>
          <w:szCs w:val="24"/>
        </w:rPr>
        <w:t xml:space="preserve">Product Analysis</w:t>
      </w:r>
    </w:p>
    <w:p>
      <w:pPr>
        <w:pStyle w:val="ListParagraph"/>
        <w:numPr>
          <w:ilvl w:val="0"/>
          <w:numId w:val="2"/>
        </w:numPr>
        <w:spacing w:after="60" w:before="60"/>
      </w:pPr>
      <w:r>
        <w:rPr>
          <w:rFonts w:ascii="Arial" w:cs="Arial" w:eastAsia="Arial" w:hAnsi="Arial"/>
          <w:sz w:val="22"/>
          <w:szCs w:val="22"/>
        </w:rPr>
        <w:t xml:space="preserve">Which product sub-categories are growing fastest vs. declining? (Subcategories Compare)</w:t>
      </w:r>
    </w:p>
    <w:p>
      <w:pPr>
        <w:pStyle w:val="ListParagraph"/>
        <w:numPr>
          <w:ilvl w:val="0"/>
          <w:numId w:val="2"/>
        </w:numPr>
        <w:spacing w:after="60" w:before="60"/>
      </w:pPr>
      <w:r>
        <w:rPr>
          <w:rFonts w:ascii="Arial" w:cs="Arial" w:eastAsia="Arial" w:hAnsi="Arial"/>
          <w:sz w:val="22"/>
          <w:szCs w:val="22"/>
        </w:rPr>
        <w:t xml:space="preserve">Are we selling more units or just higher-priced items? (KPI Quantity vs KPI Sales comparison)</w:t>
      </w:r>
    </w:p>
    <w:p>
      <w:pPr>
        <w:pStyle w:val="ListParagraph"/>
        <w:numPr>
          <w:ilvl w:val="0"/>
          <w:numId w:val="2"/>
        </w:numPr>
        <w:spacing w:after="60" w:before="60"/>
      </w:pPr>
      <w:r>
        <w:rPr>
          <w:rFonts w:ascii="Arial" w:cs="Arial" w:eastAsia="Arial" w:hAnsi="Arial"/>
          <w:sz w:val="22"/>
          <w:szCs w:val="22"/>
        </w:rPr>
        <w:t xml:space="preserve">Is profitability growing in line with revenue? (KPI Profit sparkline)</w:t>
      </w:r>
    </w:p>
    <w:p>
      <w:pPr>
        <w:spacing w:after="80" w:before="80"/>
      </w:pPr>
    </w:p>
    <w:p>
      <w:pPr>
        <w:pStyle w:val="Heading3"/>
        <w:spacing w:after="100" w:before="200"/>
      </w:pPr>
      <w:r>
        <w:rPr>
          <w:rFonts w:ascii="Arial" w:cs="Arial" w:eastAsia="Arial" w:hAnsi="Arial"/>
          <w:b/>
          <w:bCs/>
          <w:color w:val="375A7F"/>
          <w:sz w:val="24"/>
          <w:szCs w:val="24"/>
        </w:rPr>
        <w:t xml:space="preserve">Customer Intelligence</w:t>
      </w:r>
    </w:p>
    <w:p>
      <w:pPr>
        <w:pStyle w:val="ListParagraph"/>
        <w:numPr>
          <w:ilvl w:val="0"/>
          <w:numId w:val="2"/>
        </w:numPr>
        <w:spacing w:after="60" w:before="60"/>
      </w:pPr>
      <w:r>
        <w:rPr>
          <w:rFonts w:ascii="Arial" w:cs="Arial" w:eastAsia="Arial" w:hAnsi="Arial"/>
          <w:sz w:val="22"/>
          <w:szCs w:val="22"/>
        </w:rPr>
        <w:t xml:space="preserve">Are we acquiring more or fewer customers than last year? (% diff customer)</w:t>
      </w:r>
    </w:p>
    <w:p>
      <w:pPr>
        <w:pStyle w:val="ListParagraph"/>
        <w:numPr>
          <w:ilvl w:val="0"/>
          <w:numId w:val="2"/>
        </w:numPr>
        <w:spacing w:after="60" w:before="60"/>
      </w:pPr>
      <w:r>
        <w:rPr>
          <w:rFonts w:ascii="Arial" w:cs="Arial" w:eastAsia="Arial" w:hAnsi="Arial"/>
          <w:sz w:val="22"/>
          <w:szCs w:val="22"/>
        </w:rPr>
        <w:t xml:space="preserve">Is each customer spending more or less on average? (KPI Sales/Customer)</w:t>
      </w:r>
    </w:p>
    <w:p>
      <w:pPr>
        <w:pStyle w:val="ListParagraph"/>
        <w:numPr>
          <w:ilvl w:val="0"/>
          <w:numId w:val="2"/>
        </w:numPr>
        <w:spacing w:after="60" w:before="60"/>
      </w:pPr>
      <w:r>
        <w:rPr>
          <w:rFonts w:ascii="Arial" w:cs="Arial" w:eastAsia="Arial" w:hAnsi="Arial"/>
          <w:sz w:val="22"/>
          <w:szCs w:val="22"/>
        </w:rPr>
        <w:t xml:space="preserve">What proportion of customers are loyal repeat buyers? (Nr of Orders per Customer)</w:t>
      </w:r>
    </w:p>
    <w:p>
      <w:pPr>
        <w:pStyle w:val="ListParagraph"/>
        <w:numPr>
          <w:ilvl w:val="0"/>
          <w:numId w:val="2"/>
        </w:numPr>
        <w:spacing w:after="60" w:before="60"/>
      </w:pPr>
      <w:r>
        <w:rPr>
          <w:rFonts w:ascii="Arial" w:cs="Arial" w:eastAsia="Arial" w:hAnsi="Arial"/>
          <w:sz w:val="22"/>
          <w:szCs w:val="22"/>
        </w:rPr>
        <w:t xml:space="preserve">How are customers distributed by order frequency? (Customer Distribution)</w:t>
      </w:r>
    </w:p>
    <w:p>
      <w:pPr>
        <w:spacing w:after="80" w:before="80"/>
      </w:pPr>
    </w:p>
    <w:p>
      <w:pPr>
        <w:pStyle w:val="Heading1"/>
        <w:spacing w:after="180" w:before="360"/>
      </w:pPr>
      <w:r>
        <w:rPr>
          <w:rFonts w:ascii="Arial" w:cs="Arial" w:eastAsia="Arial" w:hAnsi="Arial"/>
          <w:b/>
          <w:bCs/>
          <w:color w:val="1F4E79"/>
          <w:sz w:val="36"/>
          <w:szCs w:val="36"/>
        </w:rPr>
        <w:t xml:space="preserve">10. Summary</w:t>
      </w:r>
    </w:p>
    <w:p>
      <w:pPr>
        <w:pBdr>
          <w:bottom w:val="single" w:color="2E75B6" w:sz="4" w:space="1"/>
        </w:pBdr>
        <w:spacing w:after="120" w:before="120"/>
      </w:pPr>
    </w:p>
    <w:p>
      <w:pPr>
        <w:spacing w:after="80" w:before="80"/>
      </w:pPr>
      <w:r>
        <w:rPr>
          <w:rFonts w:ascii="Arial" w:cs="Arial" w:eastAsia="Arial" w:hAnsi="Arial"/>
          <w:sz w:val="22"/>
          <w:szCs w:val="22"/>
        </w:rPr>
        <w:t xml:space="preserve">The Sales Dashboard Tableau workbook is a well-structured, dual-view analytical tool built on four flat CSV files. Its strength lies in the consistent year-over-year comparison framework driven by a single parameter, which ensures all 12 worksheets and both dashboards update together when the analyst changes the reference year.</w:t>
      </w:r>
    </w:p>
    <w:p>
      <w:pPr>
        <w:spacing w:after="80" w:before="80"/>
      </w:pPr>
      <w:r>
        <w:rPr>
          <w:rFonts w:ascii="Arial" w:cs="Arial" w:eastAsia="Arial" w:hAnsi="Arial"/>
          <w:sz w:val="22"/>
          <w:szCs w:val="22"/>
        </w:rPr>
        <w:t xml:space="preserve">The calculated field architecture cleanly separates CY metrics, PY metrics, variance fields, and Min/Max highlight fields — making the workbook easy to extend or audit. Interactive filter actions create a fluid drill-down experience from high-level KPIs down to sub-category and individual customer detail.</w:t>
      </w:r>
    </w:p>
    <w:p>
      <w:pPr>
        <w:spacing w:after="80" w:before="80"/>
      </w:pPr>
      <w:r>
        <w:rPr>
          <w:rFonts w:ascii="Arial" w:cs="Arial" w:eastAsia="Arial" w:hAnsi="Arial"/>
          <w:sz w:val="22"/>
          <w:szCs w:val="22"/>
        </w:rPr>
        <w:t xml:space="preserve">This workbook is suitable for monthly sales review meetings, executive dashboards, and operational reporting for any retail or B2B business using a similar data structure.</w:t>
      </w:r>
    </w:p>
    <w:p>
      <w:pPr>
        <w:spacing w:after="80" w:before="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5A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2026-04-14T17:48:54.232Z</dcterms:created>
  <dcterms:modified xsi:type="dcterms:W3CDTF">2026-04-14T17:48:54.232Z</dcterms:modified>
</cp:coreProperties>
</file>

<file path=docProps/custom.xml><?xml version="1.0" encoding="utf-8"?>
<Properties xmlns="http://schemas.openxmlformats.org/officeDocument/2006/custom-properties" xmlns:vt="http://schemas.openxmlformats.org/officeDocument/2006/docPropsVTypes"/>
</file>