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ED6C02"/>
          <w:sz w:val="32"/>
        </w:rPr>
        <w:t>WEEK 3 REPORT</w:t>
      </w:r>
    </w:p>
    <w:p>
      <w:pPr>
        <w:pStyle w:val="Title"/>
        <w:jc w:val="center"/>
      </w:pPr>
      <w:r>
        <w:t>Experimental Design and</w:t>
        <w:br/>
        <w:t>Evaluation Metric Formulation</w:t>
      </w:r>
    </w:p>
    <w:p>
      <w:pPr>
        <w:jc w:val="center"/>
      </w:pPr>
      <w:r>
        <w:rPr>
          <w:b/>
          <w:sz w:val="28"/>
        </w:rPr>
        <w:t>Customer Churn Prediction Using Machine Learning</w:t>
      </w:r>
    </w:p>
    <w:p>
      <w:pPr>
        <w:jc w:val="center"/>
      </w:pPr>
      <w:r>
        <w:t>Yuva Intern – Machine Learning Implementation</w:t>
      </w:r>
    </w:p>
    <w:p>
      <w:pPr>
        <w:jc w:val="center"/>
      </w:pPr>
      <w:r>
        <w:t>Prepared by: Mohit Yadav</w:t>
      </w:r>
    </w:p>
    <w:p>
      <w:pPr>
        <w:jc w:val="center"/>
      </w:pPr>
      <w:r>
        <w:t>Tools planned: Python, Pandas, NumPy, Scikit-learn</w:t>
      </w:r>
    </w:p>
    <w:p>
      <w:pPr>
        <w:jc w:val="center"/>
      </w:pPr>
      <w:r>
        <w:t>Continues the Week 1 and Week 2 project</w:t>
      </w:r>
    </w:p>
    <w:p>
      <w:r>
        <w:br w:type="page"/>
      </w:r>
    </w:p>
    <w:p>
      <w:pPr>
        <w:pStyle w:val="Heading1"/>
      </w:pPr>
      <w:r>
        <w:t>1. Introduction and Objective</w:t>
      </w:r>
    </w:p>
    <w:p>
      <w:r>
        <w:t>This report proposes an experiment to evaluate the Customer Churn Prediction model designed in Week 2. It will compare Logistic Regression, Decision Tree, and Random Forest fairly and estimate their performance on unseen customer records. This is a proposed plan; it does not claim that models have already been trained or results obtained. The target variable is Churn, which indicates whether a customer left the service. Because churn may be less common than non-churn, the experiment will use multiple metrics rather than accuracy alone.</w:t>
      </w:r>
    </w:p>
    <w:p>
      <w:pPr>
        <w:pStyle w:val="Heading1"/>
      </w:pPr>
      <w:r>
        <w:t>2. Research Questions and Hypotheses</w:t>
      </w:r>
    </w:p>
    <w:p>
      <w:pPr>
        <w:pStyle w:val="ListBullet"/>
      </w:pPr>
      <w:r>
        <w:t>Which candidate model best balances churn detection, false alarms, and generalization?</w:t>
      </w:r>
    </w:p>
    <w:p>
      <w:pPr>
        <w:pStyle w:val="ListBullet"/>
      </w:pPr>
      <w:r>
        <w:t>Do model scores remain consistent across validation folds?</w:t>
      </w:r>
    </w:p>
    <w:p>
      <w:pPr>
        <w:pStyle w:val="ListBullet"/>
      </w:pPr>
      <w:r>
        <w:t>Which kinds of customer records are most often misclassified, and how could these errors be reduced?</w:t>
      </w:r>
    </w:p>
    <w:p>
      <w:pPr>
        <w:pStyle w:val="ListBullet"/>
      </w:pPr>
      <w:r>
        <w:t>Working hypothesis: Logistic Regression will provide an interpretable baseline, Decision Tree may capture non-linear patterns, and Random Forest may improve stability. These are hypotheses to test, not guaranteed outcomes.</w:t>
      </w:r>
    </w:p>
    <w:p>
      <w:pPr>
        <w:pStyle w:val="Heading1"/>
      </w:pPr>
      <w:r>
        <w:t>3. Evaluation Metrics and Rationale</w:t>
      </w:r>
    </w:p>
    <w:p>
      <w:r>
        <w:t>The positive class is Churn = Yes. Metrics will be calculated for this class so they directly measure the goal of identifying customers who leave.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rFonts w:ascii="Arial" w:hAnsi="Arial"/>
                <w:b/>
                <w:sz w:val="16"/>
              </w:rPr>
              <w:t>Metric</w:t>
            </w:r>
          </w:p>
        </w:tc>
        <w:tc>
          <w:tcPr>
            <w:tcW w:type="dxa" w:w="3312"/>
            <w:shd w:fill="D9EAF7"/>
          </w:tcPr>
          <w:p>
            <w:r/>
            <w:r>
              <w:rPr>
                <w:rFonts w:ascii="Arial" w:hAnsi="Arial"/>
                <w:b/>
                <w:sz w:val="16"/>
              </w:rPr>
              <w:t>Definition</w:t>
            </w:r>
          </w:p>
        </w:tc>
        <w:tc>
          <w:tcPr>
            <w:tcW w:type="dxa" w:w="3312"/>
            <w:shd w:fill="D9EAF7"/>
          </w:tcPr>
          <w:p>
            <w:r/>
            <w:r>
              <w:rPr>
                <w:rFonts w:ascii="Arial" w:hAnsi="Arial"/>
                <w:b/>
                <w:sz w:val="16"/>
              </w:rPr>
              <w:t>Reason for use</w:t>
            </w:r>
          </w:p>
        </w:tc>
      </w:tr>
      <w:tr>
        <w:tc>
          <w:tcPr>
            <w:tcW w:type="dxa" w:w="3312"/>
          </w:tcPr>
          <w:p>
            <w:r/>
            <w:r>
              <w:rPr>
                <w:rFonts w:ascii="Arial" w:hAnsi="Arial"/>
                <w:b w:val="0"/>
                <w:sz w:val="16"/>
              </w:rPr>
              <w:t>Accuracy</w:t>
            </w:r>
          </w:p>
        </w:tc>
        <w:tc>
          <w:tcPr>
            <w:tcW w:type="dxa" w:w="3312"/>
          </w:tcPr>
          <w:p>
            <w:r/>
            <w:r>
              <w:rPr>
                <w:rFonts w:ascii="Arial" w:hAnsi="Arial"/>
                <w:b w:val="0"/>
                <w:sz w:val="16"/>
              </w:rPr>
              <w:t>(TP + TN) / total</w:t>
            </w:r>
          </w:p>
        </w:tc>
        <w:tc>
          <w:tcPr>
            <w:tcW w:type="dxa" w:w="3312"/>
          </w:tcPr>
          <w:p>
            <w:r/>
            <w:r>
              <w:rPr>
                <w:rFonts w:ascii="Arial" w:hAnsi="Arial"/>
                <w:b w:val="0"/>
                <w:sz w:val="16"/>
              </w:rPr>
              <w:t>Overall correctness, but can be misleading when classes are imbalanced.</w:t>
            </w:r>
          </w:p>
        </w:tc>
      </w:tr>
      <w:tr>
        <w:tc>
          <w:tcPr>
            <w:tcW w:type="dxa" w:w="3312"/>
          </w:tcPr>
          <w:p>
            <w:r/>
            <w:r>
              <w:rPr>
                <w:rFonts w:ascii="Arial" w:hAnsi="Arial"/>
                <w:b w:val="0"/>
                <w:sz w:val="16"/>
              </w:rPr>
              <w:t>Precision</w:t>
            </w:r>
          </w:p>
        </w:tc>
        <w:tc>
          <w:tcPr>
            <w:tcW w:type="dxa" w:w="3312"/>
          </w:tcPr>
          <w:p>
            <w:r/>
            <w:r>
              <w:rPr>
                <w:rFonts w:ascii="Arial" w:hAnsi="Arial"/>
                <w:b w:val="0"/>
                <w:sz w:val="16"/>
              </w:rPr>
              <w:t>TP / (TP + FP)</w:t>
            </w:r>
          </w:p>
        </w:tc>
        <w:tc>
          <w:tcPr>
            <w:tcW w:type="dxa" w:w="3312"/>
          </w:tcPr>
          <w:p>
            <w:r/>
            <w:r>
              <w:rPr>
                <w:rFonts w:ascii="Arial" w:hAnsi="Arial"/>
                <w:b w:val="0"/>
                <w:sz w:val="16"/>
              </w:rPr>
              <w:t>Among customers predicted to churn, how many actually churned; helps understand unnecessary outreach.</w:t>
            </w:r>
          </w:p>
        </w:tc>
      </w:tr>
      <w:tr>
        <w:tc>
          <w:tcPr>
            <w:tcW w:type="dxa" w:w="3312"/>
          </w:tcPr>
          <w:p>
            <w:r/>
            <w:r>
              <w:rPr>
                <w:rFonts w:ascii="Arial" w:hAnsi="Arial"/>
                <w:b w:val="0"/>
                <w:sz w:val="16"/>
              </w:rPr>
              <w:t>Recall</w:t>
            </w:r>
          </w:p>
        </w:tc>
        <w:tc>
          <w:tcPr>
            <w:tcW w:type="dxa" w:w="3312"/>
          </w:tcPr>
          <w:p>
            <w:r/>
            <w:r>
              <w:rPr>
                <w:rFonts w:ascii="Arial" w:hAnsi="Arial"/>
                <w:b w:val="0"/>
                <w:sz w:val="16"/>
              </w:rPr>
              <w:t>TP / (TP + FN)</w:t>
            </w:r>
          </w:p>
        </w:tc>
        <w:tc>
          <w:tcPr>
            <w:tcW w:type="dxa" w:w="3312"/>
          </w:tcPr>
          <w:p>
            <w:r/>
            <w:r>
              <w:rPr>
                <w:rFonts w:ascii="Arial" w:hAnsi="Arial"/>
                <w:b w:val="0"/>
                <w:sz w:val="16"/>
              </w:rPr>
              <w:t>Among actual churners, how many were identified; helps measure missed at-risk customers.</w:t>
            </w:r>
          </w:p>
        </w:tc>
      </w:tr>
      <w:tr>
        <w:tc>
          <w:tcPr>
            <w:tcW w:type="dxa" w:w="3312"/>
          </w:tcPr>
          <w:p>
            <w:r/>
            <w:r>
              <w:rPr>
                <w:rFonts w:ascii="Arial" w:hAnsi="Arial"/>
                <w:b w:val="0"/>
                <w:sz w:val="16"/>
              </w:rPr>
              <w:t>F1-score</w:t>
            </w:r>
          </w:p>
        </w:tc>
        <w:tc>
          <w:tcPr>
            <w:tcW w:type="dxa" w:w="3312"/>
          </w:tcPr>
          <w:p>
            <w:r/>
            <w:r>
              <w:rPr>
                <w:rFonts w:ascii="Arial" w:hAnsi="Arial"/>
                <w:b w:val="0"/>
                <w:sz w:val="16"/>
              </w:rPr>
              <w:t>2 × precision × recall / (precision + recall)</w:t>
            </w:r>
          </w:p>
        </w:tc>
        <w:tc>
          <w:tcPr>
            <w:tcW w:type="dxa" w:w="3312"/>
          </w:tcPr>
          <w:p>
            <w:r/>
            <w:r>
              <w:rPr>
                <w:rFonts w:ascii="Arial" w:hAnsi="Arial"/>
                <w:b w:val="0"/>
                <w:sz w:val="16"/>
              </w:rPr>
              <w:t>Balances precision and recall in one score.</w:t>
            </w:r>
          </w:p>
        </w:tc>
      </w:tr>
      <w:tr>
        <w:tc>
          <w:tcPr>
            <w:tcW w:type="dxa" w:w="3312"/>
          </w:tcPr>
          <w:p>
            <w:r/>
            <w:r>
              <w:rPr>
                <w:rFonts w:ascii="Arial" w:hAnsi="Arial"/>
                <w:b w:val="0"/>
                <w:sz w:val="16"/>
              </w:rPr>
              <w:t>ROC-AUC</w:t>
            </w:r>
          </w:p>
        </w:tc>
        <w:tc>
          <w:tcPr>
            <w:tcW w:type="dxa" w:w="3312"/>
          </w:tcPr>
          <w:p>
            <w:r/>
            <w:r>
              <w:rPr>
                <w:rFonts w:ascii="Arial" w:hAnsi="Arial"/>
                <w:b w:val="0"/>
                <w:sz w:val="16"/>
              </w:rPr>
              <w:t>Area under ROC curve</w:t>
            </w:r>
          </w:p>
        </w:tc>
        <w:tc>
          <w:tcPr>
            <w:tcW w:type="dxa" w:w="3312"/>
          </w:tcPr>
          <w:p>
            <w:r/>
            <w:r>
              <w:rPr>
                <w:rFonts w:ascii="Arial" w:hAnsi="Arial"/>
                <w:b w:val="0"/>
                <w:sz w:val="16"/>
              </w:rPr>
              <w:t>Measures how well model scores rank churners above non-churners across thresholds.</w:t>
            </w:r>
          </w:p>
        </w:tc>
      </w:tr>
      <w:tr>
        <w:tc>
          <w:tcPr>
            <w:tcW w:type="dxa" w:w="3312"/>
          </w:tcPr>
          <w:p>
            <w:r/>
            <w:r>
              <w:rPr>
                <w:rFonts w:ascii="Arial" w:hAnsi="Arial"/>
                <w:b w:val="0"/>
                <w:sz w:val="16"/>
              </w:rPr>
              <w:t>PR-AUC / Average Precision</w:t>
            </w:r>
          </w:p>
        </w:tc>
        <w:tc>
          <w:tcPr>
            <w:tcW w:type="dxa" w:w="3312"/>
          </w:tcPr>
          <w:p>
            <w:r/>
            <w:r>
              <w:rPr>
                <w:rFonts w:ascii="Arial" w:hAnsi="Arial"/>
                <w:b w:val="0"/>
                <w:sz w:val="16"/>
              </w:rPr>
              <w:t>Precision-recall curve summary</w:t>
            </w:r>
          </w:p>
        </w:tc>
        <w:tc>
          <w:tcPr>
            <w:tcW w:type="dxa" w:w="3312"/>
          </w:tcPr>
          <w:p>
            <w:r/>
            <w:r>
              <w:rPr>
                <w:rFonts w:ascii="Arial" w:hAnsi="Arial"/>
                <w:b w:val="0"/>
                <w:sz w:val="16"/>
              </w:rPr>
              <w:t>Helpful when the positive churn class is relatively uncommon.</w:t>
            </w:r>
          </w:p>
        </w:tc>
      </w:tr>
      <w:tr>
        <w:tc>
          <w:tcPr>
            <w:tcW w:type="dxa" w:w="3312"/>
          </w:tcPr>
          <w:p>
            <w:r/>
            <w:r>
              <w:rPr>
                <w:rFonts w:ascii="Arial" w:hAnsi="Arial"/>
                <w:b w:val="0"/>
                <w:sz w:val="16"/>
              </w:rPr>
              <w:t>Confusion matrix</w:t>
            </w:r>
          </w:p>
        </w:tc>
        <w:tc>
          <w:tcPr>
            <w:tcW w:type="dxa" w:w="3312"/>
          </w:tcPr>
          <w:p>
            <w:r/>
            <w:r>
              <w:rPr>
                <w:rFonts w:ascii="Arial" w:hAnsi="Arial"/>
                <w:b w:val="0"/>
                <w:sz w:val="16"/>
              </w:rPr>
              <w:t>Counts TP, TN, FP, FN</w:t>
            </w:r>
          </w:p>
        </w:tc>
        <w:tc>
          <w:tcPr>
            <w:tcW w:type="dxa" w:w="3312"/>
          </w:tcPr>
          <w:p>
            <w:r/>
            <w:r>
              <w:rPr>
                <w:rFonts w:ascii="Arial" w:hAnsi="Arial"/>
                <w:b w:val="0"/>
                <w:sz w:val="16"/>
              </w:rPr>
              <w:t>Makes false positives and false negatives visible for error analysis.</w:t>
            </w:r>
          </w:p>
        </w:tc>
      </w:tr>
    </w:tbl>
    <w:p>
      <w:r>
        <w:t>TP = true positive, TN = true negative, FP = false positive, and FN = false negative. Metrics will be reported consistently for all models.</w:t>
      </w:r>
    </w:p>
    <w:p>
      <w:pPr>
        <w:pStyle w:val="Heading1"/>
      </w:pPr>
      <w:r>
        <w:t>4. Experimental Process</w:t>
      </w:r>
    </w:p>
    <w:p>
      <w:pPr>
        <w:pStyle w:val="Heading2"/>
      </w:pPr>
      <w:r>
        <w:t>Phase 1: Data inspection</w:t>
      </w:r>
    </w:p>
    <w:p>
      <w:r>
        <w:t>Load the publicly available Telco Customer Churn dataset. Record the source and inspect row/column counts, data types, duplicates, missing values, unusual values, and the churn distribution. Convert TotalCharges to numeric if required and handle blanks consistently. Remove CustomerID because it is an identifier. Exclude information that would only be known after churn.</w:t>
      </w:r>
    </w:p>
    <w:p>
      <w:pPr>
        <w:pStyle w:val="Heading2"/>
      </w:pPr>
      <w:r>
        <w:t>Phase 2: Split data</w:t>
      </w:r>
    </w:p>
    <w:p>
      <w:r>
        <w:t>Reserve 20% of the data as a final test set using stratification to preserve the approximate churn proportion. Set and record a random seed. Keep this test set untouched during model selection, preprocessing decisions, tuning, and threshold selection.</w:t>
      </w:r>
    </w:p>
    <w:p>
      <w:pPr>
        <w:pStyle w:val="Heading2"/>
      </w:pPr>
      <w:r>
        <w:t>Phase 3: Cross-validation</w:t>
      </w:r>
    </w:p>
    <w:p>
      <w:r>
        <w:t>Use the remaining 80% as the development set. Apply stratified 5-fold cross-validation. Each fold is used for validation once while the other folds are used for training. Fit imputation, scaling, and one-hot encoding inside a Scikit-learn Pipeline/ColumnTransformer within each fold to avoid data leakage.</w:t>
      </w:r>
    </w:p>
    <w:p>
      <w:pPr>
        <w:pStyle w:val="Heading2"/>
      </w:pPr>
      <w:r>
        <w:t>Phase 4: Train candidate models</w:t>
      </w:r>
    </w:p>
    <w:p>
      <w:pPr>
        <w:pStyle w:val="ListBullet"/>
      </w:pPr>
      <w:r>
        <w:t>Logistic Regression: baseline model; scale numeric features and encode categorical features.</w:t>
      </w:r>
    </w:p>
    <w:p>
      <w:pPr>
        <w:pStyle w:val="ListBullet"/>
      </w:pPr>
      <w:r>
        <w:t>Decision Tree: test settings such as maximum depth and minimum samples per leaf to control overfitting.</w:t>
      </w:r>
    </w:p>
    <w:p>
      <w:pPr>
        <w:pStyle w:val="ListBullet"/>
      </w:pPr>
      <w:r>
        <w:t>Random Forest: test a reasonable range of tree counts, maximum depth, and minimum leaf size.</w:t>
      </w:r>
    </w:p>
    <w:p>
      <w:pPr>
        <w:pStyle w:val="Heading2"/>
      </w:pPr>
      <w:r>
        <w:t>Phase 5: Final test</w:t>
      </w:r>
    </w:p>
    <w:p>
      <w:r>
        <w:t>Compare cross-validation scores and select the model based on recall, F1-score, precision, PR-AUC, interpretability, and business needs. Refit the chosen pipeline on the full development set, then evaluate it once on the untouched test set. Do not repeatedly tune the model based on test results.</w:t>
      </w:r>
    </w:p>
    <w:p>
      <w:pPr>
        <w:pStyle w:val="Heading1"/>
      </w:pPr>
      <w:r>
        <w:t>5. Threshold Selection</w:t>
      </w:r>
    </w:p>
    <w:p>
      <w:r>
        <w:t>A probability threshold of 0.50 can be reported as a reference, but it may not be the best business threshold. Use validation predictions only to examine the trade-off between precision and recall. Choose a threshold based on the relative cost of missing a churner and contacting a customer who would have stayed. Document and lock the threshold before final test evaluation.</w:t>
      </w:r>
    </w:p>
    <w:p>
      <w:pPr>
        <w:pStyle w:val="Heading1"/>
      </w:pPr>
      <w:r>
        <w:t>6. Error Analysis</w:t>
      </w:r>
    </w:p>
    <w:p>
      <w:pPr>
        <w:pStyle w:val="ListNumber"/>
      </w:pPr>
      <w:r>
        <w:t>Generate the confusion matrix and identify false negatives (churners predicted to stay) and false positives (predicted churners who stayed).</w:t>
      </w:r>
    </w:p>
    <w:p>
      <w:pPr>
        <w:pStyle w:val="ListNumber"/>
      </w:pPr>
      <w:r>
        <w:t>Review errors by available groups such as contract type, tenure range, monthly charges, and service type, ensuring groups are large enough to interpret.</w:t>
      </w:r>
    </w:p>
    <w:p>
      <w:pPr>
        <w:pStyle w:val="ListNumber"/>
      </w:pPr>
      <w:r>
        <w:t>Check for missing values, unusual data, encoding problems, and possible data leakage that may explain errors.</w:t>
      </w:r>
    </w:p>
    <w:p>
      <w:pPr>
        <w:pStyle w:val="ListNumber"/>
      </w:pPr>
      <w:r>
        <w:t>Review predicted probabilities for incorrect and borderline cases near the selected threshold.</w:t>
      </w:r>
    </w:p>
    <w:p>
      <w:pPr>
        <w:pStyle w:val="ListNumber"/>
      </w:pPr>
      <w:r>
        <w:t>Test potential improvements using development/validation data only; keep the final test set isolated.</w:t>
      </w:r>
    </w:p>
    <w:p>
      <w:pPr>
        <w:pStyle w:val="ListNumber"/>
      </w:pPr>
      <w:r>
        <w:t>Document recurring error patterns and remember that associations do not prove a feature causes churn.</w:t>
      </w:r>
    </w:p>
    <w:p>
      <w:pPr>
        <w:pStyle w:val="Heading1"/>
      </w:pPr>
      <w:r>
        <w:t>7. Risks, Limitations, and Mitigation</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
              <w:rPr>
                <w:rFonts w:ascii="Arial" w:hAnsi="Arial"/>
                <w:b/>
                <w:sz w:val="16"/>
              </w:rPr>
              <w:t>Risk</w:t>
            </w:r>
          </w:p>
        </w:tc>
        <w:tc>
          <w:tcPr>
            <w:tcW w:type="dxa" w:w="3312"/>
            <w:shd w:fill="D9EAF7"/>
          </w:tcPr>
          <w:p>
            <w:r/>
            <w:r>
              <w:rPr>
                <w:rFonts w:ascii="Arial" w:hAnsi="Arial"/>
                <w:b/>
                <w:sz w:val="16"/>
              </w:rPr>
              <w:t>Potential impact</w:t>
            </w:r>
          </w:p>
        </w:tc>
        <w:tc>
          <w:tcPr>
            <w:tcW w:type="dxa" w:w="3312"/>
            <w:shd w:fill="D9EAF7"/>
          </w:tcPr>
          <w:p>
            <w:r/>
            <w:r>
              <w:rPr>
                <w:rFonts w:ascii="Arial" w:hAnsi="Arial"/>
                <w:b/>
                <w:sz w:val="16"/>
              </w:rPr>
              <w:t>Mitigation</w:t>
            </w:r>
          </w:p>
        </w:tc>
      </w:tr>
      <w:tr>
        <w:tc>
          <w:tcPr>
            <w:tcW w:type="dxa" w:w="3312"/>
          </w:tcPr>
          <w:p>
            <w:r/>
            <w:r>
              <w:rPr>
                <w:rFonts w:ascii="Arial" w:hAnsi="Arial"/>
                <w:b w:val="0"/>
                <w:sz w:val="16"/>
              </w:rPr>
              <w:t>Class imbalance</w:t>
            </w:r>
          </w:p>
        </w:tc>
        <w:tc>
          <w:tcPr>
            <w:tcW w:type="dxa" w:w="3312"/>
          </w:tcPr>
          <w:p>
            <w:r/>
            <w:r>
              <w:rPr>
                <w:rFonts w:ascii="Arial" w:hAnsi="Arial"/>
                <w:b w:val="0"/>
                <w:sz w:val="16"/>
              </w:rPr>
              <w:t>Accuracy can hide missed churners.</w:t>
            </w:r>
          </w:p>
        </w:tc>
        <w:tc>
          <w:tcPr>
            <w:tcW w:type="dxa" w:w="3312"/>
          </w:tcPr>
          <w:p>
            <w:r/>
            <w:r>
              <w:rPr>
                <w:rFonts w:ascii="Arial" w:hAnsi="Arial"/>
                <w:b w:val="0"/>
                <w:sz w:val="16"/>
              </w:rPr>
              <w:t>Report recall, F1, PR-AUC and confusion matrix; consider class weights.</w:t>
            </w:r>
          </w:p>
        </w:tc>
      </w:tr>
      <w:tr>
        <w:tc>
          <w:tcPr>
            <w:tcW w:type="dxa" w:w="3312"/>
          </w:tcPr>
          <w:p>
            <w:r/>
            <w:r>
              <w:rPr>
                <w:rFonts w:ascii="Arial" w:hAnsi="Arial"/>
                <w:b w:val="0"/>
                <w:sz w:val="16"/>
              </w:rPr>
              <w:t>Data leakage</w:t>
            </w:r>
          </w:p>
        </w:tc>
        <w:tc>
          <w:tcPr>
            <w:tcW w:type="dxa" w:w="3312"/>
          </w:tcPr>
          <w:p>
            <w:r/>
            <w:r>
              <w:rPr>
                <w:rFonts w:ascii="Arial" w:hAnsi="Arial"/>
                <w:b w:val="0"/>
                <w:sz w:val="16"/>
              </w:rPr>
              <w:t>Unrealistically high scores.</w:t>
            </w:r>
          </w:p>
        </w:tc>
        <w:tc>
          <w:tcPr>
            <w:tcW w:type="dxa" w:w="3312"/>
          </w:tcPr>
          <w:p>
            <w:r/>
            <w:r>
              <w:rPr>
                <w:rFonts w:ascii="Arial" w:hAnsi="Arial"/>
                <w:b w:val="0"/>
                <w:sz w:val="16"/>
              </w:rPr>
              <w:t>Keep test set isolated and fit preprocessing within each training fold.</w:t>
            </w:r>
          </w:p>
        </w:tc>
      </w:tr>
      <w:tr>
        <w:tc>
          <w:tcPr>
            <w:tcW w:type="dxa" w:w="3312"/>
          </w:tcPr>
          <w:p>
            <w:r/>
            <w:r>
              <w:rPr>
                <w:rFonts w:ascii="Arial" w:hAnsi="Arial"/>
                <w:b w:val="0"/>
                <w:sz w:val="16"/>
              </w:rPr>
              <w:t>Overfitting</w:t>
            </w:r>
          </w:p>
        </w:tc>
        <w:tc>
          <w:tcPr>
            <w:tcW w:type="dxa" w:w="3312"/>
          </w:tcPr>
          <w:p>
            <w:r/>
            <w:r>
              <w:rPr>
                <w:rFonts w:ascii="Arial" w:hAnsi="Arial"/>
                <w:b w:val="0"/>
                <w:sz w:val="16"/>
              </w:rPr>
              <w:t>Poor performance on new data.</w:t>
            </w:r>
          </w:p>
        </w:tc>
        <w:tc>
          <w:tcPr>
            <w:tcW w:type="dxa" w:w="3312"/>
          </w:tcPr>
          <w:p>
            <w:r/>
            <w:r>
              <w:rPr>
                <w:rFonts w:ascii="Arial" w:hAnsi="Arial"/>
                <w:b w:val="0"/>
                <w:sz w:val="16"/>
              </w:rPr>
              <w:t>Use cross-validation, limit model complexity, and test once on held-out data.</w:t>
            </w:r>
          </w:p>
        </w:tc>
      </w:tr>
      <w:tr>
        <w:tc>
          <w:tcPr>
            <w:tcW w:type="dxa" w:w="3312"/>
          </w:tcPr>
          <w:p>
            <w:r/>
            <w:r>
              <w:rPr>
                <w:rFonts w:ascii="Arial" w:hAnsi="Arial"/>
                <w:b w:val="0"/>
                <w:sz w:val="16"/>
              </w:rPr>
              <w:t>Small/unrepresentative sample</w:t>
            </w:r>
          </w:p>
        </w:tc>
        <w:tc>
          <w:tcPr>
            <w:tcW w:type="dxa" w:w="3312"/>
          </w:tcPr>
          <w:p>
            <w:r/>
            <w:r>
              <w:rPr>
                <w:rFonts w:ascii="Arial" w:hAnsi="Arial"/>
                <w:b w:val="0"/>
                <w:sz w:val="16"/>
              </w:rPr>
              <w:t>Results may vary or not generalize.</w:t>
            </w:r>
          </w:p>
        </w:tc>
        <w:tc>
          <w:tcPr>
            <w:tcW w:type="dxa" w:w="3312"/>
          </w:tcPr>
          <w:p>
            <w:r/>
            <w:r>
              <w:rPr>
                <w:rFonts w:ascii="Arial" w:hAnsi="Arial"/>
                <w:b w:val="0"/>
                <w:sz w:val="16"/>
              </w:rPr>
              <w:t>Report limitations and fold variability; validate on newer data if available.</w:t>
            </w:r>
          </w:p>
        </w:tc>
      </w:tr>
      <w:tr>
        <w:tc>
          <w:tcPr>
            <w:tcW w:type="dxa" w:w="3312"/>
          </w:tcPr>
          <w:p>
            <w:r/>
            <w:r>
              <w:rPr>
                <w:rFonts w:ascii="Arial" w:hAnsi="Arial"/>
                <w:b w:val="0"/>
                <w:sz w:val="16"/>
              </w:rPr>
              <w:t>Threshold bias</w:t>
            </w:r>
          </w:p>
        </w:tc>
        <w:tc>
          <w:tcPr>
            <w:tcW w:type="dxa" w:w="3312"/>
          </w:tcPr>
          <w:p>
            <w:r/>
            <w:r>
              <w:rPr>
                <w:rFonts w:ascii="Arial" w:hAnsi="Arial"/>
                <w:b w:val="0"/>
                <w:sz w:val="16"/>
              </w:rPr>
              <w:t>Test score becomes optimistic if threshold is chosen on test data.</w:t>
            </w:r>
          </w:p>
        </w:tc>
        <w:tc>
          <w:tcPr>
            <w:tcW w:type="dxa" w:w="3312"/>
          </w:tcPr>
          <w:p>
            <w:r/>
            <w:r>
              <w:rPr>
                <w:rFonts w:ascii="Arial" w:hAnsi="Arial"/>
                <w:b w:val="0"/>
                <w:sz w:val="16"/>
              </w:rPr>
              <w:t>Choose threshold using validation predictions only.</w:t>
            </w:r>
          </w:p>
        </w:tc>
      </w:tr>
      <w:tr>
        <w:tc>
          <w:tcPr>
            <w:tcW w:type="dxa" w:w="3312"/>
          </w:tcPr>
          <w:p>
            <w:r/>
            <w:r>
              <w:rPr>
                <w:rFonts w:ascii="Arial" w:hAnsi="Arial"/>
                <w:b w:val="0"/>
                <w:sz w:val="16"/>
              </w:rPr>
              <w:t>Metric trade-offs</w:t>
            </w:r>
          </w:p>
        </w:tc>
        <w:tc>
          <w:tcPr>
            <w:tcW w:type="dxa" w:w="3312"/>
          </w:tcPr>
          <w:p>
            <w:r/>
            <w:r>
              <w:rPr>
                <w:rFonts w:ascii="Arial" w:hAnsi="Arial"/>
                <w:b w:val="0"/>
                <w:sz w:val="16"/>
              </w:rPr>
              <w:t>High recall may create more false alarms.</w:t>
            </w:r>
          </w:p>
        </w:tc>
        <w:tc>
          <w:tcPr>
            <w:tcW w:type="dxa" w:w="3312"/>
          </w:tcPr>
          <w:p>
            <w:r/>
            <w:r>
              <w:rPr>
                <w:rFonts w:ascii="Arial" w:hAnsi="Arial"/>
                <w:b w:val="0"/>
                <w:sz w:val="16"/>
              </w:rPr>
              <w:t>Report multiple metrics and explain the trade-off.</w:t>
            </w:r>
          </w:p>
        </w:tc>
      </w:tr>
      <w:tr>
        <w:tc>
          <w:tcPr>
            <w:tcW w:type="dxa" w:w="3312"/>
          </w:tcPr>
          <w:p>
            <w:r/>
            <w:r>
              <w:rPr>
                <w:rFonts w:ascii="Arial" w:hAnsi="Arial"/>
                <w:b w:val="0"/>
                <w:sz w:val="16"/>
              </w:rPr>
              <w:t>Reproducibility</w:t>
            </w:r>
          </w:p>
        </w:tc>
        <w:tc>
          <w:tcPr>
            <w:tcW w:type="dxa" w:w="3312"/>
          </w:tcPr>
          <w:p>
            <w:r/>
            <w:r>
              <w:rPr>
                <w:rFonts w:ascii="Arial" w:hAnsi="Arial"/>
                <w:b w:val="0"/>
                <w:sz w:val="16"/>
              </w:rPr>
              <w:t>Results may be hard to repeat.</w:t>
            </w:r>
          </w:p>
        </w:tc>
        <w:tc>
          <w:tcPr>
            <w:tcW w:type="dxa" w:w="3312"/>
          </w:tcPr>
          <w:p>
            <w:r/>
            <w:r>
              <w:rPr>
                <w:rFonts w:ascii="Arial" w:hAnsi="Arial"/>
                <w:b w:val="0"/>
                <w:sz w:val="16"/>
              </w:rPr>
              <w:t>Record dataset source, random seed, preprocessing, package versions, and model settings.</w:t>
            </w:r>
          </w:p>
        </w:tc>
      </w:tr>
    </w:tbl>
    <w:p>
      <w:pPr>
        <w:pStyle w:val="Heading1"/>
      </w:pPr>
      <w:r>
        <w:t>8. Success Criteria and Reporting</w:t>
      </w:r>
    </w:p>
    <w:p>
      <w:r>
        <w:t>The experiment is complete when all three models use the same split and validation strategy; the metrics are calculated consistently; cross-validation variability is reported; and the final held-out test evaluation, confusion matrix, threshold rationale, error analysis, and limitations are documented. No numeric performance target is promised before the experiment is run.</w:t>
      </w:r>
    </w:p>
    <w:p>
      <w:pPr>
        <w:pStyle w:val="Heading1"/>
      </w:pPr>
      <w:r>
        <w:t>9. Planned Workflow</w:t>
      </w:r>
    </w:p>
    <w:p>
      <w:pPr>
        <w:pStyle w:val="ListBullet"/>
      </w:pPr>
      <w:r>
        <w:t>Dataset → data quality checks → define target and remove identifier</w:t>
      </w:r>
    </w:p>
    <w:p>
      <w:pPr>
        <w:pStyle w:val="ListBullet"/>
      </w:pPr>
      <w:r>
        <w:t>→ stratified 80% development / 20% final test split</w:t>
      </w:r>
    </w:p>
    <w:p>
      <w:pPr>
        <w:pStyle w:val="ListBullet"/>
      </w:pPr>
      <w:r>
        <w:t>→ stratified 5-fold cross-validation on development data</w:t>
      </w:r>
    </w:p>
    <w:p>
      <w:pPr>
        <w:pStyle w:val="ListBullet"/>
      </w:pPr>
      <w:r>
        <w:t>→ fit preprocessing and model within each fold</w:t>
      </w:r>
    </w:p>
    <w:p>
      <w:pPr>
        <w:pStyle w:val="ListBullet"/>
      </w:pPr>
      <w:r>
        <w:t>→ compare metrics and tune using validation results</w:t>
      </w:r>
    </w:p>
    <w:p>
      <w:pPr>
        <w:pStyle w:val="ListBullet"/>
      </w:pPr>
      <w:r>
        <w:t>→ choose model and threshold using development data</w:t>
      </w:r>
    </w:p>
    <w:p>
      <w:pPr>
        <w:pStyle w:val="ListBullet"/>
      </w:pPr>
      <w:r>
        <w:t>→ refit on development set → evaluate once on final test set</w:t>
      </w:r>
    </w:p>
    <w:p>
      <w:pPr>
        <w:pStyle w:val="ListBullet"/>
      </w:pPr>
      <w:r>
        <w:t>→ confusion matrix, error analysis, conclusions and documentation</w:t>
      </w:r>
    </w:p>
    <w:p>
      <w:pPr>
        <w:pStyle w:val="Heading1"/>
      </w:pPr>
      <w:r>
        <w:t>10. Conclusion</w:t>
      </w:r>
    </w:p>
    <w:p>
      <w:r>
        <w:t>This plan provides a fair and repeatable way to evaluate the Week 2 churn model design. Accuracy, precision, recall, F1-score, ROC-AUC, PR-AUC, and the confusion matrix provide complementary views of performance. Stratified cross-validation supports model comparison, while an isolated test set estimates generalization. Careful threshold selection, error analysis, and leakage prevention are necessary for credible results.</w:t>
      </w:r>
    </w:p>
    <w:p>
      <w:pPr>
        <w:pStyle w:val="Heading1"/>
      </w:pPr>
      <w:r>
        <w:t>11. Public References</w:t>
      </w:r>
    </w:p>
    <w:p>
      <w:pPr>
        <w:pStyle w:val="ListBullet"/>
      </w:pPr>
      <w:r>
        <w:t>IBM, What is Customer Churn? https://www.ibm.com/think/topics/customer-churn</w:t>
      </w:r>
    </w:p>
    <w:p>
      <w:pPr>
        <w:pStyle w:val="ListBullet"/>
      </w:pPr>
      <w:r>
        <w:t>IBM, Telco Customer Churn Sample. https://www.ibm.com/docs/en/cognos-analytics/12.0.x?topic=samples-telco-customer-churn</w:t>
      </w:r>
    </w:p>
    <w:p>
      <w:pPr>
        <w:pStyle w:val="ListBullet"/>
      </w:pPr>
      <w:r>
        <w:t>Scikit-learn, Model Evaluation. https://scikit-learn.org/stable/modules/model_evaluation.html</w:t>
      </w:r>
    </w:p>
    <w:p>
      <w:pPr>
        <w:pStyle w:val="ListBullet"/>
      </w:pPr>
      <w:r>
        <w:t>Scikit-learn, Cross-validation. https://scikit-learn.org/stable/modules/cross_validation.html</w:t>
      </w:r>
    </w:p>
    <w:p>
      <w:pPr>
        <w:pStyle w:val="ListBullet"/>
      </w:pPr>
      <w:r>
        <w:t>Scikit-learn, Pipelines and Composite Estimators. https://scikit-learn.org/stable/modules/compose.html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Yuva Intern – Week 3 | Experimental Design and Evaluation Metrics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