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drawing>
          <wp:inline distT="0" distB="0" distL="0" distR="0">
            <wp:extent cx="1428750" cy="1104900"/>
            <wp:effectExtent t="0" r="0" b="0" l="0"/>
            <wp:docPr id="1" name="DAN" descr="DAN Company logo" title="D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9648B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9D88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8233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3533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after="0" w:before="480"/>
      </w:pPr>
      <w:r>
        <w:rPr>
          <w:rFonts w:ascii="Tahoma" w:cs="Tahoma" w:eastAsia="Tahoma" w:hAnsi="Tahoma"/>
          <w:b/>
          <w:bCs/>
          <w:color w:val="595959"/>
          <w:spacing w:val="30"/>
          <w:sz w:val="20"/>
          <w:szCs w:val="20"/>
        </w:rPr>
        <w:t xml:space="preserve">HEALTH, SAFETY &amp; ENVIRONMENT MANAGEMENT SYSTEM</w:t>
      </w:r>
    </w:p>
    <w:p>
      <w:pPr>
        <w:spacing w:after="0" w:before="40"/>
      </w:pPr>
      <w:r>
        <w:rPr>
          <w:rFonts w:ascii="Tahoma" w:cs="Tahoma" w:eastAsia="Tahoma" w:hAnsi="Tahoma"/>
          <w:color w:val="595959"/>
          <w:sz w:val="18"/>
          <w:szCs w:val="18"/>
        </w:rPr>
        <w:t xml:space="preserve">DAN HSE Minimum Requirements</w:t>
      </w:r>
    </w:p>
    <w:p>
      <w:pPr>
        <w:spacing w:after="0" w:before="720"/>
      </w:pPr>
      <w:r>
        <w:rPr>
          <w:rFonts w:ascii="Tahoma" w:cs="Tahoma" w:eastAsia="Tahoma" w:hAnsi="Tahoma"/>
          <w:b/>
          <w:bCs/>
          <w:color w:val="542A12"/>
          <w:sz w:val="44"/>
          <w:szCs w:val="44"/>
        </w:rPr>
        <w:t xml:space="preserve">Compressed Gas Cylinders</w:t>
      </w:r>
    </w:p>
    <w:p>
      <w:pPr>
        <w:pBdr>
          <w:top w:val="single" w:color="E68233" w:sz="12" w:space="8"/>
        </w:pBdr>
        <w:spacing w:after="0" w:before="200"/>
      </w:pPr>
      <w:r>
        <w:rPr>
          <w:rFonts w:ascii="Tahoma" w:cs="Tahoma" w:eastAsia="Tahoma" w:hAnsi="Tahoma"/>
          <w:sz w:val="8"/>
          <w:szCs w:val="8"/>
        </w:rPr>
        <w:t xml:space="preserve"/>
      </w:r>
    </w:p>
    <w:p>
      <w:pPr>
        <w:spacing w:after="120" w:before="480"/>
      </w:pPr>
      <w:r>
        <w:rPr>
          <w:rFonts w:ascii="Tahoma" w:cs="Tahoma" w:eastAsia="Tahoma" w:hAnsi="Tahoma"/>
          <w:b/>
          <w:bCs/>
          <w:color w:val="542A12"/>
          <w:sz w:val="22"/>
          <w:szCs w:val="2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Document No.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01-000001-000000-DAN-HSE-MNR-000006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Revision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R01</w:t>
            </w:r>
          </w:p>
        </w:tc>
      </w:tr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Issue Date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Controlled — Internal</w:t>
            </w:r>
          </w:p>
        </w:tc>
      </w:tr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HSSE Department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Page Format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US Letter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60"/>
      </w:pPr>
      <w:r>
        <w:rPr>
          <w:rFonts w:ascii="Tahoma" w:cs="Tahoma" w:eastAsia="Tahoma" w:hAnsi="Tahoma"/>
          <w:b/>
          <w:bCs/>
          <w:color w:val="542A12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pPr>
            <w:spacing w:after="40" w:line="259"/>
            <w:ind w:left="0"/>
          </w:pPr>
          <w:hyperlink w:anchor="_DanToc9000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Purpose</w:t>
            </w:r>
          </w:hyperlink>
        </w:p>
        <w:p>
          <w:pPr>
            <w:spacing w:after="40" w:line="259"/>
            <w:ind w:left="0"/>
          </w:pPr>
          <w:hyperlink w:anchor="_DanToc9001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Scope</w:t>
            </w:r>
          </w:hyperlink>
        </w:p>
        <w:p>
          <w:pPr>
            <w:spacing w:after="40" w:line="259"/>
            <w:ind w:left="0"/>
          </w:pPr>
          <w:hyperlink w:anchor="_DanToc9002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Definitions</w:t>
            </w:r>
          </w:hyperlink>
        </w:p>
        <w:p>
          <w:pPr>
            <w:spacing w:after="40" w:line="259"/>
            <w:ind w:left="0"/>
          </w:pPr>
          <w:hyperlink w:anchor="_DanToc9003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Standards</w:t>
            </w:r>
          </w:hyperlink>
        </w:p>
        <w:p>
          <w:pPr>
            <w:spacing w:after="40" w:line="259"/>
            <w:ind w:left="0"/>
          </w:pPr>
          <w:hyperlink w:anchor="_DanToc9004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Tools and References</w:t>
            </w:r>
          </w:hyperlink>
        </w:p>
        <w:p>
          <w:pPr>
            <w:spacing w:after="40" w:line="259"/>
            <w:ind w:left="0"/>
          </w:pPr>
          <w:hyperlink w:anchor="_DanToc9005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1.0 General Requirements</w:t>
            </w:r>
          </w:hyperlink>
        </w:p>
        <w:p>
          <w:pPr>
            <w:spacing w:after="40" w:line="259"/>
            <w:ind w:left="0"/>
          </w:pPr>
          <w:hyperlink w:anchor="_DanToc9006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2.0 Storage</w:t>
            </w:r>
          </w:hyperlink>
        </w:p>
        <w:p>
          <w:pPr>
            <w:spacing w:after="40" w:line="259"/>
            <w:ind w:left="0"/>
          </w:pPr>
          <w:hyperlink w:anchor="_DanToc9007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3.0 Handling of Cylinders</w:t>
            </w:r>
          </w:hyperlink>
        </w:p>
        <w:p>
          <w:pPr>
            <w:spacing w:after="40" w:line="259"/>
            <w:ind w:left="0"/>
          </w:pPr>
          <w:hyperlink w:anchor="_DanToc9008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4.0 Transportation</w:t>
            </w:r>
          </w:hyperlink>
        </w:p>
        <w:p>
          <w:pPr>
            <w:spacing w:after="40" w:line="259"/>
            <w:ind w:left="0"/>
          </w:pPr>
          <w:hyperlink w:anchor="_DanToc9009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Revision History</w:t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id="9000" w:name="_DanToc9000"/>
      <w:r>
        <w:t xml:space="preserve">Purpose</w:t>
      </w:r>
      <w:bookmarkEnd w:id="9000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purpose of this HSE minimum requirement is to define the requirements for the safe use and operations of Compressed Gas Cylinders required on DAN projects.</w:t>
      </w:r>
    </w:p>
    <w:p>
      <w:pPr>
        <w:pStyle w:val="Heading1"/>
      </w:pPr>
      <w:bookmarkStart w:id="9001" w:name="_DanToc9001"/>
      <w:r>
        <w:t xml:space="preserve">Scope</w:t>
      </w:r>
      <w:bookmarkEnd w:id="9001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This HSE Minimum Requirement is applicable to all parties’ personnel who are working within DAN Company Projects.</w:t>
      </w:r>
    </w:p>
    <w:p>
      <w:pPr>
        <w:pStyle w:val="Heading1"/>
      </w:pPr>
      <w:bookmarkStart w:id="9002" w:name="_DanToc9002"/>
      <w:r>
        <w:t xml:space="preserve">Definitions</w:t>
      </w:r>
      <w:bookmarkEnd w:id="9002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Compressed Gas Cylinders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Compressed gasses are gasses that are stored under pressure in cylinders. The three major types of compressed gasses are liquefied gasses, non-liquefied gasses, and dissolved gasses</w:t>
            </w:r>
          </w:p>
        </w:tc>
      </w:tr>
    </w:tbl>
    <w:p>
      <w:pPr>
        <w:pStyle w:val="Heading1"/>
      </w:pPr>
      <w:bookmarkStart w:id="9003" w:name="_DanToc9003"/>
      <w:r>
        <w:t xml:space="preserve">Standards</w:t>
      </w:r>
      <w:bookmarkEnd w:id="9003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DAN Construction HSE Management System Manual (01-000001-000000-DAN-HSE-MAN-000001) and management procedures.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Saudi Labour Law – Royal Decree No. M/51, 23 Sha’ban 1426 / 27 September 2005</w:t>
      </w:r>
    </w:p>
    <w:p>
      <w:pPr>
        <w:pStyle w:val="Heading1"/>
      </w:pPr>
      <w:bookmarkStart w:id="9004" w:name="_DanToc9004"/>
      <w:r>
        <w:t xml:space="preserve">Tools and References</w:t>
      </w:r>
      <w:bookmarkEnd w:id="9004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Compressed Gas Cylinder Inspection Records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OSHA standard 1910.101 Compressed gases (general requirements).</w:t>
      </w:r>
    </w:p>
    <w:p>
      <w:pPr>
        <w:pStyle w:val="Heading1"/>
      </w:pPr>
      <w:bookmarkStart w:id="9005" w:name="_DanToc9005"/>
      <w:r>
        <w:t xml:space="preserve">1.0 General Requirements</w:t>
      </w:r>
      <w:bookmarkEnd w:id="9005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Specific competency-based training will be provided to all persons involved in handling, transporting, and using compressed gas cylinders, these include Managers, Supervisors, Logistics, Storekeepers, and Workers.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Compressed gas cylinders shall be properly marked or labeled, including their contents, with lettering in Arabic and English.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Cylinders shall not be placed in confined spaces or adjacent to excavations.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Cylinders shall be inspected for damage, severe corrosion, valve leakage, and current hydro-test date before each use.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A leaking cylinder shall be immediately removed to an open space, clear of all buildings, people, and any potential source of ignition.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All cylinders shall have an approved pressure-reducing regulator with a check valve connected to the cylinder valve.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Oil, grease, or other hydrocarbons shall not be used as a lubricant on valves, fittings, or threaded attachments.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Regulators, gauges, safety valves, hoses, and connections must be clearly marked with the manufacturers’ rating / international standard, uniquely tagged, coded to demonstrate the period of the last inspection, protect from environmental hazards, and be free from damage.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LPG must not be used on-site without Civil Defence Approvals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Compressed gas cylinders must be: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Considered full and the valves protected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Moved using specific racks/equipment to protect the valve connection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Kept in storage areas that clearly identify the type of gas being stored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Stored vertically in open and secure compound/cradles in a manner that prevents them from falling over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Operated using approved keys or handles, they must remain with the compressed cylinder while in use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Disposed of using approved supplier/vendor</w:t>
      </w:r>
    </w:p>
    <w:p>
      <w:pPr>
        <w:pStyle w:val="Heading1"/>
      </w:pPr>
      <w:bookmarkStart w:id="9006" w:name="_DanToc9006"/>
      <w:r>
        <w:t xml:space="preserve">2.0 Storage</w:t>
      </w:r>
      <w:bookmarkEnd w:id="9006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Cylinders shall be stored in a safe and accessible location. Cylinder storage locations shall be a dry, well-ventilated area prepared and reserved for that purpose.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Flammable/combustible substances (e.g., oil, grease, volatile liquids) and corrosive substances shall not be stored in the same area as gas cylinders.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Oxygen cylinders and cylinders containing other oxidizers (e.g., chlorine, nitrous oxide) shall be stored at least 6.1 m (20 ft) from flammable gas cylinders or they shall be separated by a ½-hour fire-rated barrier at least 1.5 m (5 ft) high.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Smoking and other sources of ignition are prohibited near storage areas.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Storage areas shall have Arabic, English, and the languages of all workers’ “No Smoking” and “Gas Cylinder Storage Area” signs prominently displayed.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Cylinders shall be chained or otherwise secured in an upright position; use bottle/cylinder racks wherever possible.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Cylinders stored in the open shall not have direct contact with the ground, exposure to extreme weather, or contact with water.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number of cylinders shall be kept to a minimum at job site locations. Bulk storage (e.g., large inventories) shall be located off-site.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When regulators are removed from the cylinders, they shall be considered “not in use” or “stored” and cylinder valve caps shall be put back in place.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Water and dry chemical fire extinguishers shall be immediately available within 15m(50ft) of the storage area.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Cylinders shall not be stored at temperatures or locations that could result in the temperature of the cylinder exceeding 54 °C (130 °F). Outside cylinder storage areas shall have protective enclosures or sun shelters installed as needed to prevent cylinders from reaching 54 °C (130 °F).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Cylinders shall not be stored in a location where they would be subject to direct flames or other heat sources, such as furnaces.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Empty and full cylinders shall be stored separately with empty cylinders plainly marked to avoid confusion.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Cylinders (empty and full) shall be segregated according to the type of gas they contain.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Storage Room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Cylinder storage rooms shall be sufficiently ventilated so that explosive concentrations of the gas cannot accumulate.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Electrical systems (wiring, connections, conduits, lighting fixtures, etc.) in cylinder storage rooms shall meet National Electrical Code (NFPA 70) requirements for hazardous areas.</w:t>
      </w:r>
    </w:p>
    <w:p>
      <w:pPr>
        <w:pStyle w:val="Heading1"/>
      </w:pPr>
      <w:bookmarkStart w:id="9007" w:name="_DanToc9007"/>
      <w:r>
        <w:t xml:space="preserve">3.0 Handling of Cylinders</w:t>
      </w:r>
      <w:bookmarkEnd w:id="9007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A cylinder shall never be lifted by its valve.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A protective cap shall remain on the valve when the cylinder is not in use.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A cylinder’s valve shall be fully closed before a cylinder is moved.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Unless a trolley or special carrier is used, regulators and hoses shall be detached, and cylinder valve caps put back in place before moving.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If cylinders are to be lifted by a crane, specially designed bottle carriers with lifting eyes shall be used, and shall not be lifted with electromagnetic devices, slings, chains, or ropes.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Cylinders shall not be struck together, dropped, thrown, dragged, or used as rollers or as a support.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Personnel handling toxic gas cylinders shall be trained in the hazards of the gas they are handling and how to use a self-contained breathing apparatus (SCBA).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Empty cylinders shall be returned to the supplier with the valves closed and cylinder valve caps in place.</w:t>
      </w:r>
    </w:p>
    <w:p>
      <w:pPr>
        <w:pStyle w:val="Heading1"/>
      </w:pPr>
      <w:bookmarkStart w:id="9008" w:name="_DanToc9008"/>
      <w:r>
        <w:t xml:space="preserve">4.0 Transportation</w:t>
      </w:r>
      <w:bookmarkEnd w:id="9008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Cylinder trolleys, material baskets, cylinder racks, and other proper types of equipment shall be used to transport cylinders.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All cylinders being transported by vehicle shall have cylinder valve caps in place, be positioned in an upright position, and be firmly secured to prevent movement.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Vehicles transporting cylinders shall be equipped with the required firefighting and first aid equipment.</w:t>
      </w:r>
    </w:p>
    <w:p>
      <w:pPr>
        <w:pStyle w:val="Heading1"/>
      </w:pPr>
      <w:bookmarkStart w:id="9009" w:name="_DanToc9009"/>
      <w:r>
        <w:t xml:space="preserve">Revision History</w:t>
      </w:r>
      <w:bookmarkEnd w:id="9009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4460"/>
        <w:gridCol w:w="2400"/>
      </w:tblGrid>
      <w:tr>
        <w:trPr>
          <w:tblHeader/>
        </w:trP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Rev.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R01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First issue — DAN HSE Minimum Requirement, adapted from the source OH&amp;S minimum requirement, re-branded to DAN and coded to the DAN document-numbering convention (01-000001-000000-DAN-HSE-MNR-{seq}).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HSSE Manager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62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3AA" w:sz="6" w:space="4"/>
      </w:pBdr>
      <w:tabs>
        <w:tab w:val="right" w:pos="9360"/>
      </w:tabs>
    </w:pPr>
    <w:r>
      <w:rPr>
        <w:rFonts w:ascii="Tahoma" w:cs="Tahoma" w:eastAsia="Tahoma" w:hAnsi="Tahoma"/>
        <w:color w:val="595959"/>
        <w:sz w:val="14"/>
        <w:szCs w:val="14"/>
      </w:rPr>
      <w:t xml:space="preserve">DAN HSE — Minimum Requirement</w:t>
    </w:r>
    <w:r>
      <w:rPr>
        <w:rFonts w:ascii="Tahoma" w:cs="Tahoma" w:eastAsia="Tahoma" w:hAnsi="Tahoma"/>
        <w:sz w:val="14"/>
        <w:szCs w:val="14"/>
      </w:rPr>
      <w:t xml:space="preserve">	</w:t>
    </w:r>
    <w:r>
      <w:rPr>
        <w:rFonts w:ascii="Tahoma" w:cs="Tahoma" w:eastAsia="Tahoma" w:hAnsi="Tahoma"/>
        <w:color w:val="595959"/>
        <w:sz w:val="14"/>
        <w:szCs w:val="14"/>
      </w:rPr>
      <w:t xml:space="preserve">Page </w:t>
    </w:r>
    <w:r>
      <w:rPr>
        <w:rFonts w:ascii="Tahoma" w:cs="Tahoma" w:eastAsia="Tahoma" w:hAnsi="Tahoma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Tahoma" w:cs="Tahoma" w:eastAsia="Tahoma" w:hAnsi="Tahoma"/>
        <w:color w:val="595959"/>
        <w:sz w:val="14"/>
        <w:szCs w:val="14"/>
      </w:rPr>
      <w:t xml:space="preserve"> of </w:t>
    </w:r>
    <w:r>
      <w:rPr>
        <w:rFonts w:ascii="Tahoma" w:cs="Tahoma" w:eastAsia="Tahoma" w:hAnsi="Tahoma"/>
        <w:color w:val="59595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Tahoma" w:cs="Tahoma" w:eastAsia="Tahoma" w:hAnsi="Tahoma"/>
              <w:b/>
              <w:bCs/>
              <w:color w:val="542A12"/>
              <w:sz w:val="22"/>
              <w:szCs w:val="22"/>
            </w:rPr>
            <w:t xml:space="preserve">DAN</w:t>
          </w:r>
          <w:r>
            <w:rPr>
              <w:rFonts w:ascii="Tahoma" w:cs="Tahoma" w:eastAsia="Tahoma" w:hAnsi="Tahoma"/>
              <w:color w:val="595959"/>
              <w:sz w:val="14"/>
              <w:szCs w:val="14"/>
            </w:rPr>
            <w:t xml:space="preserve">  |  HSSE Management System</w:t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Tahoma" w:cs="Tahoma" w:eastAsia="Tahoma" w:hAnsi="Tahoma"/>
              <w:color w:val="595959"/>
              <w:sz w:val="14"/>
              <w:szCs w:val="14"/>
            </w:rPr>
            <w:t xml:space="preserve">01-000001-000000-DAN-HSE-MNR-000006 · R01</w:t>
          </w:r>
        </w:p>
      </w:tc>
    </w:tr>
  </w:tbl>
  <w:p>
    <w:pPr>
      <w:pBdr>
        <w:bottom w:val="single" w:color="542A12" w:sz="6" w:space="1"/>
      </w:pBdr>
      <w:spacing w:before="4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70"/>
      </w:pPr>
      <w:rPr>
        <w:color w:val="542A1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00" w:hanging="270"/>
      </w:pPr>
      <w:rPr>
        <w:color w:val="E6823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CCC2" w:sz="4" w:space="4"/>
      </w:pBdr>
      <w:spacing w:after="140" w:before="280"/>
      <w:outlineLvl w:val="0"/>
    </w:pPr>
    <w:rPr>
      <w:rFonts w:ascii="Tahoma" w:cs="Tahoma" w:eastAsia="Tahoma" w:hAnsi="Tahoma"/>
      <w:b/>
      <w:bCs/>
      <w:color w:val="542A12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ahoma" w:cs="Tahoma" w:eastAsia="Tahoma" w:hAnsi="Tahoma"/>
      <w:b/>
      <w:bCs/>
      <w:color w:val="B569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1936a4fbd2c20a575d426ea593d61c06905c28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Compressed Gas Cylinders</dc:title>
  <dc:creator>DAN HSSE Management System</dc:creator>
  <cp:lastModifiedBy>Un-named</cp:lastModifiedBy>
  <cp:revision>1</cp:revision>
  <dcterms:created xsi:type="dcterms:W3CDTF">2026-09-01T08:18:15.130Z</dcterms:created>
  <dcterms:modified xsi:type="dcterms:W3CDTF">2026-09-01T08:18:15.130Z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