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Excavations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01-000001-000000-DAN-HSE-MNR-000011</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Purpose</w:t>
            </w:r>
          </w:hyperlink>
        </w:p>
        <w:p>
          <w:pPr>
            <w:spacing w:after="40" w:line="259"/>
            <w:ind w:left="0"/>
          </w:pPr>
          <w:hyperlink w:anchor="_DanToc9001" w:history="1">
            <w:r>
              <w:rPr>
                <w:rFonts w:ascii="Tahoma" w:hAnsi="Tahoma" w:cs="Tahoma"/>
                <w:b/>
                <w:color w:val="542A12"/>
                <w:sz w:val="20"/>
              </w:rPr>
              <w:t xml:space="preserve">Scope</w:t>
            </w:r>
          </w:hyperlink>
        </w:p>
        <w:p>
          <w:pPr>
            <w:spacing w:after="40" w:line="259"/>
            <w:ind w:left="0"/>
          </w:pPr>
          <w:hyperlink w:anchor="_DanToc9002" w:history="1">
            <w:r>
              <w:rPr>
                <w:rFonts w:ascii="Tahoma" w:hAnsi="Tahoma" w:cs="Tahoma"/>
                <w:b/>
                <w:color w:val="542A12"/>
                <w:sz w:val="20"/>
              </w:rPr>
              <w:t xml:space="preserve">Definitions</w:t>
            </w:r>
          </w:hyperlink>
        </w:p>
        <w:p>
          <w:pPr>
            <w:spacing w:after="40" w:line="259"/>
            <w:ind w:left="0"/>
          </w:pPr>
          <w:hyperlink w:anchor="_DanToc9003" w:history="1">
            <w:r>
              <w:rPr>
                <w:rFonts w:ascii="Tahoma" w:hAnsi="Tahoma" w:cs="Tahoma"/>
                <w:b/>
                <w:color w:val="542A12"/>
                <w:sz w:val="20"/>
              </w:rPr>
              <w:t xml:space="preserve">Standards</w:t>
            </w:r>
          </w:hyperlink>
        </w:p>
        <w:p>
          <w:pPr>
            <w:spacing w:after="40" w:line="259"/>
            <w:ind w:left="0"/>
          </w:pPr>
          <w:hyperlink w:anchor="_DanToc9004" w:history="1">
            <w:r>
              <w:rPr>
                <w:rFonts w:ascii="Tahoma" w:hAnsi="Tahoma" w:cs="Tahoma"/>
                <w:b/>
                <w:color w:val="542A12"/>
                <w:sz w:val="20"/>
              </w:rPr>
              <w:t xml:space="preserve">Tools and References</w:t>
            </w:r>
          </w:hyperlink>
        </w:p>
        <w:p>
          <w:pPr>
            <w:spacing w:after="40" w:line="259"/>
            <w:ind w:left="0"/>
          </w:pPr>
          <w:hyperlink w:anchor="_DanToc9005" w:history="1">
            <w:r>
              <w:rPr>
                <w:rFonts w:ascii="Tahoma" w:hAnsi="Tahoma" w:cs="Tahoma"/>
                <w:b/>
                <w:color w:val="542A12"/>
                <w:sz w:val="20"/>
              </w:rPr>
              <w:t xml:space="preserve">1. General Requirements</w:t>
            </w:r>
          </w:hyperlink>
        </w:p>
        <w:p>
          <w:pPr>
            <w:spacing w:after="40" w:line="259"/>
            <w:ind w:left="0"/>
          </w:pPr>
          <w:hyperlink w:anchor="_DanToc9006" w:history="1">
            <w:r>
              <w:rPr>
                <w:rFonts w:ascii="Tahoma" w:hAnsi="Tahoma" w:cs="Tahoma"/>
                <w:b/>
                <w:color w:val="542A12"/>
                <w:sz w:val="20"/>
              </w:rPr>
              <w:t xml:space="preserve">2. Planning</w:t>
            </w:r>
          </w:hyperlink>
        </w:p>
        <w:p>
          <w:pPr>
            <w:spacing w:after="40" w:line="259"/>
            <w:ind w:left="0"/>
          </w:pPr>
          <w:hyperlink w:anchor="_DanToc9007" w:history="1">
            <w:r>
              <w:rPr>
                <w:rFonts w:ascii="Tahoma" w:hAnsi="Tahoma" w:cs="Tahoma"/>
                <w:b/>
                <w:color w:val="542A12"/>
                <w:sz w:val="20"/>
              </w:rPr>
              <w:t xml:space="preserve">1.2 m (4 ft)</w:t>
            </w:r>
          </w:hyperlink>
        </w:p>
        <w:p>
          <w:pPr>
            <w:spacing w:after="40" w:line="259"/>
            <w:ind w:left="0"/>
          </w:pPr>
          <w:hyperlink w:anchor="_DanToc9008" w:history="1">
            <w:r>
              <w:rPr>
                <w:rFonts w:ascii="Tahoma" w:hAnsi="Tahoma" w:cs="Tahoma"/>
                <w:b/>
                <w:color w:val="542A12"/>
                <w:sz w:val="20"/>
              </w:rPr>
              <w:t xml:space="preserve">2.4 m (8 ft)</w:t>
            </w:r>
          </w:hyperlink>
        </w:p>
        <w:p>
          <w:pPr>
            <w:spacing w:after="40" w:line="259"/>
            <w:ind w:left="0"/>
          </w:pPr>
          <w:hyperlink w:anchor="_DanToc9009" w:history="1">
            <w:r>
              <w:rPr>
                <w:rFonts w:ascii="Tahoma" w:hAnsi="Tahoma" w:cs="Tahoma"/>
                <w:b/>
                <w:color w:val="542A12"/>
                <w:sz w:val="20"/>
              </w:rPr>
              <w:t xml:space="preserve">3. Permit System</w:t>
            </w:r>
          </w:hyperlink>
        </w:p>
        <w:p>
          <w:pPr>
            <w:spacing w:after="40" w:line="259"/>
            <w:ind w:left="0"/>
          </w:pPr>
          <w:hyperlink w:anchor="_DanToc9010" w:history="1">
            <w:r>
              <w:rPr>
                <w:rFonts w:ascii="Tahoma" w:hAnsi="Tahoma" w:cs="Tahoma"/>
                <w:b/>
                <w:color w:val="542A12"/>
                <w:sz w:val="20"/>
              </w:rPr>
              <w:t xml:space="preserve">4. Sidewall Cave-In protection</w:t>
            </w:r>
          </w:hyperlink>
        </w:p>
        <w:p>
          <w:pPr>
            <w:spacing w:after="40" w:line="259"/>
            <w:ind w:left="0"/>
          </w:pPr>
          <w:hyperlink w:anchor="_DanToc9011" w:history="1">
            <w:r>
              <w:rPr>
                <w:rFonts w:ascii="Tahoma" w:hAnsi="Tahoma" w:cs="Tahoma"/>
                <w:b/>
                <w:color w:val="542A12"/>
                <w:sz w:val="20"/>
              </w:rPr>
              <w:t xml:space="preserve">5. Entry and Exit</w:t>
            </w:r>
          </w:hyperlink>
        </w:p>
        <w:p>
          <w:pPr>
            <w:spacing w:after="40" w:line="259"/>
            <w:ind w:left="0"/>
          </w:pPr>
          <w:hyperlink w:anchor="_DanToc9012" w:history="1">
            <w:r>
              <w:rPr>
                <w:rFonts w:ascii="Tahoma" w:hAnsi="Tahoma" w:cs="Tahoma"/>
                <w:b/>
                <w:color w:val="542A12"/>
                <w:sz w:val="20"/>
              </w:rPr>
              <w:t xml:space="preserve">6. Edge Protection, Markers, and Fixed Lighting</w:t>
            </w:r>
          </w:hyperlink>
        </w:p>
        <w:p>
          <w:pPr>
            <w:spacing w:after="40" w:line="259"/>
            <w:ind w:left="0"/>
          </w:pPr>
          <w:hyperlink w:anchor="_DanToc9013" w:history="1">
            <w:r>
              <w:rPr>
                <w:rFonts w:ascii="Tahoma" w:hAnsi="Tahoma" w:cs="Tahoma"/>
                <w:b/>
                <w:color w:val="542A12"/>
                <w:sz w:val="20"/>
              </w:rPr>
              <w:t xml:space="preserve">7. Roads, Streets, and sidewalks</w:t>
            </w:r>
          </w:hyperlink>
        </w:p>
        <w:p>
          <w:pPr>
            <w:spacing w:after="40" w:line="259"/>
            <w:ind w:left="0"/>
          </w:pPr>
          <w:hyperlink w:anchor="_DanToc9014" w:history="1">
            <w:r>
              <w:rPr>
                <w:rFonts w:ascii="Tahoma" w:hAnsi="Tahoma" w:cs="Tahoma"/>
                <w:b/>
                <w:color w:val="542A12"/>
                <w:sz w:val="20"/>
              </w:rPr>
              <w:t xml:space="preserve">8. Backfilling</w:t>
            </w:r>
          </w:hyperlink>
        </w:p>
        <w:p>
          <w:pPr>
            <w:spacing w:after="40" w:line="259"/>
            <w:ind w:left="0"/>
          </w:pPr>
          <w:hyperlink w:anchor="_DanToc9015"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Purpose</w:t>
      </w:r>
      <w:bookmarkEnd w:id="9000"/>
    </w:p>
    <w:p>
      <w:pPr>
        <w:spacing w:after="120" w:line="276"/>
        <w:jc w:val="both"/>
      </w:pPr>
      <w:r>
        <w:rPr>
          <w:rFonts w:ascii="Tahoma" w:cs="Tahoma" w:eastAsia="Tahoma" w:hAnsi="Tahoma"/>
          <w:sz w:val="20"/>
          <w:szCs w:val="20"/>
        </w:rPr>
        <w:t xml:space="preserve">The purpose of excavations HSE Minimum Requirement is to address all parties involved in the design and construction project of the DAN Company approach towards identifying, mitigating, and controlling the risk.</w:t>
      </w:r>
    </w:p>
    <w:p>
      <w:pPr>
        <w:pStyle w:val="Heading1"/>
      </w:pPr>
      <w:bookmarkStart w:id="9001" w:name="_DanToc9001"/>
      <w:r>
        <w:t xml:space="preserve">Scope</w:t>
      </w:r>
      <w:bookmarkEnd w:id="9001"/>
    </w:p>
    <w:p>
      <w:pPr>
        <w:spacing w:after="120" w:line="276"/>
        <w:jc w:val="both"/>
      </w:pPr>
      <w:r>
        <w:rPr>
          <w:rFonts w:ascii="Tahoma" w:cs="Tahoma" w:eastAsia="Tahoma" w:hAnsi="Tahoma"/>
          <w:sz w:val="20"/>
          <w:szCs w:val="20"/>
        </w:rPr>
        <w:t xml:space="preserve">This HSE Minimum Requirement applies to all parties’ personnel who are working within of DAN Company Projects.</w:t>
      </w:r>
    </w:p>
    <w:p>
      <w:pPr>
        <w:pStyle w:val="Heading1"/>
      </w:pPr>
      <w:bookmarkStart w:id="9002" w:name="_DanToc9002"/>
      <w:r>
        <w:t xml:space="preserve">Definitions</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Excavation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This means any man-made cut, cavity, trench, or depression in an earth’s surface, formed by earth removal</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Trench</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This means a narrow excavation (in relation to its length) made below the surface of the ground. In general, the depth is greater than the width</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Slopping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This means a method of protecting workers from cave-ins by excavating to form sides of an excavation that are inclined away from the excavation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Benching</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horizontal stepping of the face, side, or wall of an excavation.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Support System</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means a structure such as underpinning, bracing, or shoring, which provides support to an adjacent structure, underground installation, or the sides of an excavation</w:t>
            </w:r>
          </w:p>
        </w:tc>
      </w:tr>
    </w:tbl>
    <w:p>
      <w:pPr>
        <w:pStyle w:val="Heading1"/>
      </w:pPr>
      <w:bookmarkStart w:id="9003" w:name="_DanToc9003"/>
      <w:r>
        <w:t xml:space="preserve">Standards</w:t>
      </w:r>
      <w:bookmarkEnd w:id="9003"/>
    </w:p>
    <w:p>
      <w:pPr>
        <w:pStyle w:val="ListParagraph"/>
        <w:numPr>
          <w:ilvl w:val="0"/>
          <w:numId w:val="2"/>
        </w:numPr>
        <w:spacing w:after="60" w:line="268"/>
        <w:jc w:val="both"/>
      </w:pPr>
      <w:r>
        <w:rPr>
          <w:rFonts w:ascii="Tahoma" w:cs="Tahoma" w:eastAsia="Tahoma" w:hAnsi="Tahoma"/>
          <w:sz w:val="20"/>
          <w:szCs w:val="20"/>
        </w:rPr>
        <w:t xml:space="preserve">DAN Construction HSE Management System Manual (01-000001-000000-DAN-HSE-MAN-000001) and management procedures.</w:t>
      </w:r>
    </w:p>
    <w:p>
      <w:pPr>
        <w:pStyle w:val="ListParagraph"/>
        <w:numPr>
          <w:ilvl w:val="0"/>
          <w:numId w:val="2"/>
        </w:numPr>
        <w:spacing w:after="60" w:line="268"/>
        <w:jc w:val="both"/>
      </w:pPr>
      <w:r>
        <w:rPr>
          <w:rFonts w:ascii="Tahoma" w:cs="Tahoma" w:eastAsia="Tahoma" w:hAnsi="Tahoma"/>
          <w:sz w:val="20"/>
          <w:szCs w:val="20"/>
        </w:rPr>
        <w:t xml:space="preserve">Saudi Labour Law – Royal Decree No. M/51, 23 Sha’ban 1426 / 27 September 2005</w:t>
      </w:r>
    </w:p>
    <w:p>
      <w:pPr>
        <w:pStyle w:val="ListParagraph"/>
        <w:numPr>
          <w:ilvl w:val="0"/>
          <w:numId w:val="2"/>
        </w:numPr>
        <w:spacing w:after="60" w:line="268"/>
        <w:jc w:val="both"/>
      </w:pPr>
      <w:r>
        <w:rPr>
          <w:rFonts w:ascii="Tahoma" w:cs="Tahoma" w:eastAsia="Tahoma" w:hAnsi="Tahoma"/>
          <w:sz w:val="20"/>
          <w:szCs w:val="20"/>
        </w:rPr>
        <w:t xml:space="preserve">Ministry of Municipal &amp; Rural Affairs Deputy Ministry for Technical Affairs Regulations</w:t>
      </w:r>
    </w:p>
    <w:p>
      <w:pPr>
        <w:pStyle w:val="ListParagraph"/>
        <w:numPr>
          <w:ilvl w:val="0"/>
          <w:numId w:val="2"/>
        </w:numPr>
        <w:spacing w:after="60" w:line="268"/>
        <w:jc w:val="both"/>
      </w:pPr>
      <w:r>
        <w:rPr>
          <w:rFonts w:ascii="Tahoma" w:cs="Tahoma" w:eastAsia="Tahoma" w:hAnsi="Tahoma"/>
          <w:sz w:val="20"/>
          <w:szCs w:val="20"/>
        </w:rPr>
        <w:t xml:space="preserve">Saudi Building code Regulations</w:t>
      </w:r>
    </w:p>
    <w:p>
      <w:pPr>
        <w:pStyle w:val="Heading1"/>
      </w:pPr>
      <w:bookmarkStart w:id="9004" w:name="_DanToc9004"/>
      <w:r>
        <w:t xml:space="preserve">Tools and References</w:t>
      </w:r>
      <w:bookmarkEnd w:id="9004"/>
    </w:p>
    <w:p>
      <w:pPr>
        <w:pStyle w:val="ListParagraph"/>
        <w:numPr>
          <w:ilvl w:val="0"/>
          <w:numId w:val="2"/>
        </w:numPr>
        <w:spacing w:after="60" w:line="268"/>
        <w:jc w:val="both"/>
      </w:pPr>
      <w:r>
        <w:rPr>
          <w:rFonts w:ascii="Tahoma" w:cs="Tahoma" w:eastAsia="Tahoma" w:hAnsi="Tahoma"/>
          <w:sz w:val="20"/>
          <w:szCs w:val="20"/>
        </w:rPr>
        <w:t xml:space="preserve">Method Statement &amp; Risk Assessment</w:t>
      </w:r>
    </w:p>
    <w:p>
      <w:pPr>
        <w:pStyle w:val="ListParagraph"/>
        <w:numPr>
          <w:ilvl w:val="0"/>
          <w:numId w:val="2"/>
        </w:numPr>
        <w:spacing w:after="60" w:line="268"/>
        <w:jc w:val="both"/>
      </w:pPr>
      <w:r>
        <w:rPr>
          <w:rFonts w:ascii="Tahoma" w:cs="Tahoma" w:eastAsia="Tahoma" w:hAnsi="Tahoma"/>
          <w:sz w:val="20"/>
          <w:szCs w:val="20"/>
        </w:rPr>
        <w:t xml:space="preserve">Site Survey &amp; Soil Test Report</w:t>
      </w:r>
    </w:p>
    <w:p>
      <w:pPr>
        <w:pStyle w:val="ListParagraph"/>
        <w:numPr>
          <w:ilvl w:val="0"/>
          <w:numId w:val="2"/>
        </w:numPr>
        <w:spacing w:after="60" w:line="268"/>
        <w:jc w:val="both"/>
      </w:pPr>
      <w:r>
        <w:rPr>
          <w:rFonts w:ascii="Tahoma" w:cs="Tahoma" w:eastAsia="Tahoma" w:hAnsi="Tahoma"/>
          <w:sz w:val="20"/>
          <w:szCs w:val="20"/>
        </w:rPr>
        <w:t xml:space="preserve">Daily Inspection &amp; Permit to Work</w:t>
      </w:r>
    </w:p>
    <w:p>
      <w:pPr>
        <w:pStyle w:val="ListParagraph"/>
        <w:numPr>
          <w:ilvl w:val="0"/>
          <w:numId w:val="2"/>
        </w:numPr>
        <w:spacing w:after="60" w:line="268"/>
        <w:jc w:val="both"/>
      </w:pPr>
      <w:r>
        <w:rPr>
          <w:rFonts w:ascii="Tahoma" w:cs="Tahoma" w:eastAsia="Tahoma" w:hAnsi="Tahoma"/>
          <w:sz w:val="20"/>
          <w:szCs w:val="20"/>
        </w:rPr>
        <w:t xml:space="preserve">TBT &amp; Training Record</w:t>
      </w:r>
    </w:p>
    <w:p>
      <w:pPr>
        <w:pStyle w:val="ListParagraph"/>
        <w:numPr>
          <w:ilvl w:val="0"/>
          <w:numId w:val="2"/>
        </w:numPr>
        <w:spacing w:after="60" w:line="268"/>
        <w:jc w:val="both"/>
      </w:pPr>
      <w:r>
        <w:rPr>
          <w:rFonts w:ascii="Tahoma" w:cs="Tahoma" w:eastAsia="Tahoma" w:hAnsi="Tahoma"/>
          <w:sz w:val="20"/>
          <w:szCs w:val="20"/>
        </w:rPr>
        <w:t xml:space="preserve">OSHA standard 1926.651 Specific Excavation Requirements</w:t>
      </w:r>
    </w:p>
    <w:p>
      <w:pPr>
        <w:pStyle w:val="Heading1"/>
      </w:pPr>
      <w:bookmarkStart w:id="9005" w:name="_DanToc9005"/>
      <w:r>
        <w:t xml:space="preserve">1. General Requirements</w:t>
      </w:r>
      <w:bookmarkEnd w:id="9005"/>
    </w:p>
    <w:p>
      <w:pPr>
        <w:pStyle w:val="ListParagraph"/>
        <w:numPr>
          <w:ilvl w:val="0"/>
          <w:numId w:val="2"/>
        </w:numPr>
        <w:spacing w:after="60" w:line="268"/>
        <w:jc w:val="both"/>
      </w:pPr>
      <w:r>
        <w:rPr>
          <w:rFonts w:ascii="Tahoma" w:cs="Tahoma" w:eastAsia="Tahoma" w:hAnsi="Tahoma"/>
          <w:sz w:val="20"/>
          <w:szCs w:val="20"/>
        </w:rPr>
        <w:t xml:space="preserve">Specific competency-based training will be provided to all employees involved in excavation work to enable them to recognize and respond to excavation hazards, this includes.</w:t>
      </w:r>
    </w:p>
    <w:p>
      <w:pPr>
        <w:pStyle w:val="ListParagraph"/>
        <w:numPr>
          <w:ilvl w:val="0"/>
          <w:numId w:val="3"/>
        </w:numPr>
        <w:spacing w:after="40" w:line="264"/>
      </w:pPr>
      <w:r>
        <w:rPr>
          <w:rFonts w:ascii="Tahoma" w:cs="Tahoma" w:eastAsia="Tahoma" w:hAnsi="Tahoma"/>
          <w:sz w:val="18"/>
          <w:szCs w:val="18"/>
        </w:rPr>
        <w:t xml:space="preserve">Managers / Engineers / Supervisors</w:t>
      </w:r>
    </w:p>
    <w:p>
      <w:pPr>
        <w:pStyle w:val="ListParagraph"/>
        <w:numPr>
          <w:ilvl w:val="0"/>
          <w:numId w:val="3"/>
        </w:numPr>
        <w:spacing w:after="40" w:line="264"/>
      </w:pPr>
      <w:r>
        <w:rPr>
          <w:rFonts w:ascii="Tahoma" w:cs="Tahoma" w:eastAsia="Tahoma" w:hAnsi="Tahoma"/>
          <w:sz w:val="18"/>
          <w:szCs w:val="18"/>
        </w:rPr>
        <w:t xml:space="preserve">Workers / Plant &amp; Equipment Operators</w:t>
      </w:r>
    </w:p>
    <w:p>
      <w:pPr>
        <w:pStyle w:val="ListParagraph"/>
        <w:numPr>
          <w:ilvl w:val="0"/>
          <w:numId w:val="2"/>
        </w:numPr>
        <w:spacing w:after="60" w:line="268"/>
        <w:jc w:val="both"/>
      </w:pPr>
      <w:r>
        <w:rPr>
          <w:rFonts w:ascii="Tahoma" w:cs="Tahoma" w:eastAsia="Tahoma" w:hAnsi="Tahoma"/>
          <w:sz w:val="20"/>
          <w:szCs w:val="20"/>
        </w:rPr>
        <w:t xml:space="preserve">Excavation activities will have the following information available at the point of work:</w:t>
      </w:r>
    </w:p>
    <w:p>
      <w:pPr>
        <w:pStyle w:val="ListParagraph"/>
        <w:numPr>
          <w:ilvl w:val="0"/>
          <w:numId w:val="3"/>
        </w:numPr>
        <w:spacing w:after="40" w:line="264"/>
      </w:pPr>
      <w:r>
        <w:rPr>
          <w:rFonts w:ascii="Tahoma" w:cs="Tahoma" w:eastAsia="Tahoma" w:hAnsi="Tahoma"/>
          <w:sz w:val="18"/>
          <w:szCs w:val="18"/>
        </w:rPr>
        <w:t xml:space="preserve">Site survey plans and search validation record</w:t>
      </w:r>
    </w:p>
    <w:p>
      <w:pPr>
        <w:pStyle w:val="ListParagraph"/>
        <w:numPr>
          <w:ilvl w:val="0"/>
          <w:numId w:val="3"/>
        </w:numPr>
        <w:spacing w:after="40" w:line="264"/>
      </w:pPr>
      <w:r>
        <w:rPr>
          <w:rFonts w:ascii="Tahoma" w:cs="Tahoma" w:eastAsia="Tahoma" w:hAnsi="Tahoma"/>
          <w:sz w:val="18"/>
          <w:szCs w:val="18"/>
        </w:rPr>
        <w:t xml:space="preserve">Design information detailing sloping/benching and/or temporary support systems</w:t>
      </w:r>
    </w:p>
    <w:p>
      <w:pPr>
        <w:pStyle w:val="ListParagraph"/>
        <w:numPr>
          <w:ilvl w:val="0"/>
          <w:numId w:val="3"/>
        </w:numPr>
        <w:spacing w:after="40" w:line="264"/>
      </w:pPr>
      <w:r>
        <w:rPr>
          <w:rFonts w:ascii="Tahoma" w:cs="Tahoma" w:eastAsia="Tahoma" w:hAnsi="Tahoma"/>
          <w:sz w:val="18"/>
          <w:szCs w:val="18"/>
        </w:rPr>
        <w:t xml:space="preserve">Methodology &amp; risk assessment</w:t>
      </w:r>
    </w:p>
    <w:p>
      <w:pPr>
        <w:pStyle w:val="ListParagraph"/>
        <w:numPr>
          <w:ilvl w:val="0"/>
          <w:numId w:val="3"/>
        </w:numPr>
        <w:spacing w:after="40" w:line="264"/>
      </w:pPr>
      <w:r>
        <w:rPr>
          <w:rFonts w:ascii="Tahoma" w:cs="Tahoma" w:eastAsia="Tahoma" w:hAnsi="Tahoma"/>
          <w:sz w:val="18"/>
          <w:szCs w:val="18"/>
        </w:rPr>
        <w:t xml:space="preserve">Dewatering methods [where required]</w:t>
      </w:r>
    </w:p>
    <w:p>
      <w:pPr>
        <w:pStyle w:val="ListParagraph"/>
        <w:numPr>
          <w:ilvl w:val="0"/>
          <w:numId w:val="3"/>
        </w:numPr>
        <w:spacing w:after="40" w:line="264"/>
      </w:pPr>
      <w:r>
        <w:rPr>
          <w:rFonts w:ascii="Tahoma" w:cs="Tahoma" w:eastAsia="Tahoma" w:hAnsi="Tahoma"/>
          <w:sz w:val="18"/>
          <w:szCs w:val="18"/>
        </w:rPr>
        <w:t xml:space="preserve">Permit-to-work</w:t>
      </w:r>
    </w:p>
    <w:p>
      <w:pPr>
        <w:pStyle w:val="ListParagraph"/>
        <w:numPr>
          <w:ilvl w:val="0"/>
          <w:numId w:val="3"/>
        </w:numPr>
        <w:spacing w:after="40" w:line="264"/>
      </w:pPr>
      <w:r>
        <w:rPr>
          <w:rFonts w:ascii="Tahoma" w:cs="Tahoma" w:eastAsia="Tahoma" w:hAnsi="Tahoma"/>
          <w:sz w:val="18"/>
          <w:szCs w:val="18"/>
        </w:rPr>
        <w:t xml:space="preserve">Emergency plan</w:t>
      </w:r>
    </w:p>
    <w:p>
      <w:pPr>
        <w:pStyle w:val="ListParagraph"/>
        <w:numPr>
          <w:ilvl w:val="0"/>
          <w:numId w:val="3"/>
        </w:numPr>
        <w:spacing w:after="40" w:line="264"/>
      </w:pPr>
      <w:r>
        <w:rPr>
          <w:rFonts w:ascii="Tahoma" w:cs="Tahoma" w:eastAsia="Tahoma" w:hAnsi="Tahoma"/>
          <w:sz w:val="18"/>
          <w:szCs w:val="18"/>
        </w:rPr>
        <w:t xml:space="preserve">Daily inspection report</w:t>
      </w:r>
    </w:p>
    <w:p>
      <w:pPr>
        <w:pStyle w:val="ListParagraph"/>
        <w:numPr>
          <w:ilvl w:val="0"/>
          <w:numId w:val="2"/>
        </w:numPr>
        <w:spacing w:after="60" w:line="268"/>
        <w:jc w:val="both"/>
      </w:pPr>
      <w:r>
        <w:rPr>
          <w:rFonts w:ascii="Tahoma" w:cs="Tahoma" w:eastAsia="Tahoma" w:hAnsi="Tahoma"/>
          <w:sz w:val="20"/>
          <w:szCs w:val="20"/>
        </w:rPr>
        <w:t xml:space="preserve">Excavation exclusion zones will be established using physical barriers located at least 2m from the leading edge</w:t>
      </w:r>
    </w:p>
    <w:p>
      <w:pPr>
        <w:pStyle w:val="ListParagraph"/>
        <w:numPr>
          <w:ilvl w:val="0"/>
          <w:numId w:val="2"/>
        </w:numPr>
        <w:spacing w:after="60" w:line="268"/>
        <w:jc w:val="both"/>
      </w:pPr>
      <w:r>
        <w:rPr>
          <w:rFonts w:ascii="Tahoma" w:cs="Tahoma" w:eastAsia="Tahoma" w:hAnsi="Tahoma"/>
          <w:sz w:val="20"/>
          <w:szCs w:val="20"/>
        </w:rPr>
        <w:t xml:space="preserve">Excavated spoil will be located at least 2m from the leading edge</w:t>
      </w:r>
    </w:p>
    <w:p>
      <w:pPr>
        <w:pStyle w:val="ListParagraph"/>
        <w:numPr>
          <w:ilvl w:val="0"/>
          <w:numId w:val="2"/>
        </w:numPr>
        <w:spacing w:after="60" w:line="268"/>
        <w:jc w:val="both"/>
      </w:pPr>
      <w:r>
        <w:rPr>
          <w:rFonts w:ascii="Tahoma" w:cs="Tahoma" w:eastAsia="Tahoma" w:hAnsi="Tahoma"/>
          <w:sz w:val="20"/>
          <w:szCs w:val="20"/>
        </w:rPr>
        <w:t xml:space="preserve">A minimum of two safe access/egress routes will be provided for each excavation.</w:t>
      </w:r>
    </w:p>
    <w:p>
      <w:pPr>
        <w:pStyle w:val="ListParagraph"/>
        <w:numPr>
          <w:ilvl w:val="0"/>
          <w:numId w:val="3"/>
        </w:numPr>
        <w:spacing w:after="40" w:line="264"/>
      </w:pPr>
      <w:r>
        <w:rPr>
          <w:rFonts w:ascii="Tahoma" w:cs="Tahoma" w:eastAsia="Tahoma" w:hAnsi="Tahoma"/>
          <w:sz w:val="18"/>
          <w:szCs w:val="18"/>
        </w:rPr>
        <w:t xml:space="preserve">Travel distances between access/egress routes must enable quick and easy escape in the event of an emergency.</w:t>
      </w:r>
    </w:p>
    <w:p>
      <w:pPr>
        <w:pStyle w:val="ListParagraph"/>
        <w:numPr>
          <w:ilvl w:val="0"/>
          <w:numId w:val="2"/>
        </w:numPr>
        <w:spacing w:after="60" w:line="268"/>
        <w:jc w:val="both"/>
      </w:pPr>
      <w:r>
        <w:rPr>
          <w:rFonts w:ascii="Tahoma" w:cs="Tahoma" w:eastAsia="Tahoma" w:hAnsi="Tahoma"/>
          <w:sz w:val="20"/>
          <w:szCs w:val="20"/>
        </w:rPr>
        <w:t xml:space="preserve">Pedestrian access and egress routes will be provided using:</w:t>
      </w:r>
    </w:p>
    <w:p>
      <w:pPr>
        <w:pStyle w:val="ListParagraph"/>
        <w:numPr>
          <w:ilvl w:val="0"/>
          <w:numId w:val="3"/>
        </w:numPr>
        <w:spacing w:after="40" w:line="264"/>
      </w:pPr>
      <w:r>
        <w:rPr>
          <w:rFonts w:ascii="Tahoma" w:cs="Tahoma" w:eastAsia="Tahoma" w:hAnsi="Tahoma"/>
          <w:sz w:val="18"/>
          <w:szCs w:val="18"/>
        </w:rPr>
        <w:t xml:space="preserve">Fixed access stairways</w:t>
      </w:r>
    </w:p>
    <w:p>
      <w:pPr>
        <w:pStyle w:val="ListParagraph"/>
        <w:numPr>
          <w:ilvl w:val="0"/>
          <w:numId w:val="3"/>
        </w:numPr>
        <w:spacing w:after="40" w:line="264"/>
      </w:pPr>
      <w:r>
        <w:rPr>
          <w:rFonts w:ascii="Tahoma" w:cs="Tahoma" w:eastAsia="Tahoma" w:hAnsi="Tahoma"/>
          <w:sz w:val="18"/>
          <w:szCs w:val="18"/>
        </w:rPr>
        <w:t xml:space="preserve">Temporary access bridge and ladders</w:t>
      </w:r>
    </w:p>
    <w:p>
      <w:pPr>
        <w:pStyle w:val="ListParagraph"/>
        <w:numPr>
          <w:ilvl w:val="0"/>
          <w:numId w:val="3"/>
        </w:numPr>
        <w:spacing w:after="40" w:line="264"/>
      </w:pPr>
      <w:r>
        <w:rPr>
          <w:rFonts w:ascii="Tahoma" w:cs="Tahoma" w:eastAsia="Tahoma" w:hAnsi="Tahoma"/>
          <w:sz w:val="18"/>
          <w:szCs w:val="18"/>
        </w:rPr>
        <w:t xml:space="preserve">Securely fixed ladders for short-duration work only</w:t>
      </w:r>
    </w:p>
    <w:p>
      <w:pPr>
        <w:pStyle w:val="ListParagraph"/>
        <w:numPr>
          <w:ilvl w:val="0"/>
          <w:numId w:val="2"/>
        </w:numPr>
        <w:spacing w:after="60" w:line="268"/>
        <w:jc w:val="both"/>
      </w:pPr>
      <w:r>
        <w:rPr>
          <w:rFonts w:ascii="Tahoma" w:cs="Tahoma" w:eastAsia="Tahoma" w:hAnsi="Tahoma"/>
          <w:sz w:val="20"/>
          <w:szCs w:val="20"/>
        </w:rPr>
        <w:t xml:space="preserve">Atmospheric testing will be provided where there is a risk of toxic fumes or gases</w:t>
      </w:r>
    </w:p>
    <w:p>
      <w:pPr>
        <w:pStyle w:val="ListParagraph"/>
        <w:numPr>
          <w:ilvl w:val="0"/>
          <w:numId w:val="2"/>
        </w:numPr>
        <w:spacing w:after="60" w:line="268"/>
        <w:jc w:val="both"/>
      </w:pPr>
      <w:r>
        <w:rPr>
          <w:rFonts w:ascii="Tahoma" w:cs="Tahoma" w:eastAsia="Tahoma" w:hAnsi="Tahoma"/>
          <w:sz w:val="20"/>
          <w:szCs w:val="20"/>
        </w:rPr>
        <w:t xml:space="preserve">Excavations will be inspected at the start of every work shift by a competent person and the outcomes documented</w:t>
      </w:r>
    </w:p>
    <w:p>
      <w:pPr>
        <w:pStyle w:val="Heading1"/>
      </w:pPr>
      <w:bookmarkStart w:id="9006" w:name="_DanToc9006"/>
      <w:r>
        <w:t xml:space="preserve">2. Planning</w:t>
      </w:r>
      <w:bookmarkEnd w:id="9006"/>
    </w:p>
    <w:p>
      <w:pPr>
        <w:pStyle w:val="ListParagraph"/>
        <w:numPr>
          <w:ilvl w:val="0"/>
          <w:numId w:val="2"/>
        </w:numPr>
        <w:spacing w:after="60" w:line="268"/>
        <w:jc w:val="both"/>
      </w:pPr>
      <w:r>
        <w:rPr>
          <w:rFonts w:ascii="Tahoma" w:cs="Tahoma" w:eastAsia="Tahoma" w:hAnsi="Tahoma"/>
          <w:sz w:val="20"/>
          <w:szCs w:val="20"/>
        </w:rPr>
        <w:t xml:space="preserve">Before excavation activities begin, the following factors shall be evaluated by an excavation-competent person who has the proper training and/or experience:</w:t>
      </w:r>
    </w:p>
    <w:p>
      <w:pPr>
        <w:pStyle w:val="ListParagraph"/>
        <w:numPr>
          <w:ilvl w:val="0"/>
          <w:numId w:val="3"/>
        </w:numPr>
        <w:spacing w:after="40" w:line="264"/>
      </w:pPr>
      <w:r>
        <w:rPr>
          <w:rFonts w:ascii="Tahoma" w:cs="Tahoma" w:eastAsia="Tahoma" w:hAnsi="Tahoma"/>
          <w:sz w:val="18"/>
          <w:szCs w:val="18"/>
        </w:rPr>
        <w:t xml:space="preserve">Purpose, size of excavation, and work to be performed.</w:t>
      </w:r>
    </w:p>
    <w:p>
      <w:pPr>
        <w:pStyle w:val="ListParagraph"/>
        <w:numPr>
          <w:ilvl w:val="0"/>
          <w:numId w:val="3"/>
        </w:numPr>
        <w:spacing w:after="40" w:line="264"/>
      </w:pPr>
      <w:r>
        <w:rPr>
          <w:rFonts w:ascii="Tahoma" w:cs="Tahoma" w:eastAsia="Tahoma" w:hAnsi="Tahoma"/>
          <w:sz w:val="18"/>
          <w:szCs w:val="18"/>
        </w:rPr>
        <w:t xml:space="preserve">Soil classification (best if determined by a geotechnical/soil analysis).</w:t>
      </w:r>
    </w:p>
    <w:p>
      <w:pPr>
        <w:pStyle w:val="ListParagraph"/>
        <w:numPr>
          <w:ilvl w:val="0"/>
          <w:numId w:val="3"/>
        </w:numPr>
        <w:spacing w:after="40" w:line="264"/>
      </w:pPr>
      <w:r>
        <w:rPr>
          <w:rFonts w:ascii="Tahoma" w:cs="Tahoma" w:eastAsia="Tahoma" w:hAnsi="Tahoma"/>
          <w:sz w:val="18"/>
          <w:szCs w:val="18"/>
        </w:rPr>
        <w:t xml:space="preserve">Stability and proximity of adjacent structures, including the location and depth of foundations.</w:t>
      </w:r>
    </w:p>
    <w:p>
      <w:pPr>
        <w:pStyle w:val="ListParagraph"/>
        <w:numPr>
          <w:ilvl w:val="0"/>
          <w:numId w:val="3"/>
        </w:numPr>
        <w:spacing w:after="40" w:line="264"/>
      </w:pPr>
      <w:r>
        <w:rPr>
          <w:rFonts w:ascii="Tahoma" w:cs="Tahoma" w:eastAsia="Tahoma" w:hAnsi="Tahoma"/>
          <w:sz w:val="18"/>
          <w:szCs w:val="18"/>
        </w:rPr>
        <w:t xml:space="preserve">Location of underground obstructions such as pipes, electric cables, and other utilities.</w:t>
      </w:r>
    </w:p>
    <w:p>
      <w:pPr>
        <w:pStyle w:val="ListParagraph"/>
        <w:numPr>
          <w:ilvl w:val="0"/>
          <w:numId w:val="3"/>
        </w:numPr>
        <w:spacing w:after="40" w:line="264"/>
      </w:pPr>
      <w:r>
        <w:rPr>
          <w:rFonts w:ascii="Tahoma" w:cs="Tahoma" w:eastAsia="Tahoma" w:hAnsi="Tahoma"/>
          <w:sz w:val="18"/>
          <w:szCs w:val="18"/>
        </w:rPr>
        <w:t xml:space="preserve">Presence of nearby process equipment or piping with the potential for release of hydrocarbon or toxic materials (e.g., H2S).</w:t>
      </w:r>
    </w:p>
    <w:p>
      <w:pPr>
        <w:pStyle w:val="ListParagraph"/>
        <w:numPr>
          <w:ilvl w:val="0"/>
          <w:numId w:val="3"/>
        </w:numPr>
        <w:spacing w:after="40" w:line="264"/>
      </w:pPr>
      <w:r>
        <w:rPr>
          <w:rFonts w:ascii="Tahoma" w:cs="Tahoma" w:eastAsia="Tahoma" w:hAnsi="Tahoma"/>
          <w:sz w:val="18"/>
          <w:szCs w:val="18"/>
        </w:rPr>
        <w:t xml:space="preserve">Weather and soil moisture conditions, especially high-water table.</w:t>
      </w:r>
    </w:p>
    <w:p>
      <w:pPr>
        <w:pStyle w:val="ListParagraph"/>
        <w:numPr>
          <w:ilvl w:val="0"/>
          <w:numId w:val="3"/>
        </w:numPr>
        <w:spacing w:after="40" w:line="264"/>
      </w:pPr>
      <w:r>
        <w:rPr>
          <w:rFonts w:ascii="Tahoma" w:cs="Tahoma" w:eastAsia="Tahoma" w:hAnsi="Tahoma"/>
          <w:sz w:val="18"/>
          <w:szCs w:val="18"/>
        </w:rPr>
        <w:t xml:space="preserve">Sources of soil vibrations (highway traffic, machinery, railroads, etc.).</w:t>
      </w:r>
    </w:p>
    <w:p>
      <w:pPr>
        <w:pStyle w:val="ListParagraph"/>
        <w:numPr>
          <w:ilvl w:val="0"/>
          <w:numId w:val="3"/>
        </w:numPr>
        <w:spacing w:after="40" w:line="264"/>
      </w:pPr>
      <w:r>
        <w:rPr>
          <w:rFonts w:ascii="Tahoma" w:cs="Tahoma" w:eastAsia="Tahoma" w:hAnsi="Tahoma"/>
          <w:sz w:val="18"/>
          <w:szCs w:val="18"/>
        </w:rPr>
        <w:t xml:space="preserve">Location and type of barricades, signs, and lighting.</w:t>
      </w:r>
    </w:p>
    <w:p>
      <w:pPr>
        <w:pStyle w:val="ListParagraph"/>
        <w:numPr>
          <w:ilvl w:val="0"/>
          <w:numId w:val="3"/>
        </w:numPr>
        <w:spacing w:after="40" w:line="264"/>
      </w:pPr>
      <w:r>
        <w:rPr>
          <w:rFonts w:ascii="Tahoma" w:cs="Tahoma" w:eastAsia="Tahoma" w:hAnsi="Tahoma"/>
          <w:sz w:val="18"/>
          <w:szCs w:val="18"/>
        </w:rPr>
        <w:t xml:space="preserve">Method of excavating and removal of soil.</w:t>
      </w:r>
    </w:p>
    <w:p>
      <w:pPr>
        <w:pStyle w:val="ListParagraph"/>
        <w:numPr>
          <w:ilvl w:val="0"/>
          <w:numId w:val="3"/>
        </w:numPr>
        <w:spacing w:after="40" w:line="264"/>
      </w:pPr>
      <w:r>
        <w:rPr>
          <w:rFonts w:ascii="Tahoma" w:cs="Tahoma" w:eastAsia="Tahoma" w:hAnsi="Tahoma"/>
          <w:sz w:val="18"/>
          <w:szCs w:val="18"/>
        </w:rPr>
        <w:t xml:space="preserve">Protective system to be used (i.e., benching, sloping, or shoring).</w:t>
      </w:r>
    </w:p>
    <w:p>
      <w:pPr>
        <w:pStyle w:val="ListParagraph"/>
        <w:numPr>
          <w:ilvl w:val="0"/>
          <w:numId w:val="3"/>
        </w:numPr>
        <w:spacing w:after="40" w:line="264"/>
      </w:pPr>
      <w:r>
        <w:rPr>
          <w:rFonts w:ascii="Tahoma" w:cs="Tahoma" w:eastAsia="Tahoma" w:hAnsi="Tahoma"/>
          <w:sz w:val="18"/>
          <w:szCs w:val="18"/>
        </w:rPr>
        <w:t xml:space="preserve">Emergency rescue equipment is required.</w:t>
      </w:r>
    </w:p>
    <w:p>
      <w:pPr>
        <w:pStyle w:val="ListParagraph"/>
        <w:numPr>
          <w:ilvl w:val="0"/>
          <w:numId w:val="3"/>
        </w:numPr>
        <w:spacing w:after="40" w:line="264"/>
      </w:pPr>
      <w:r>
        <w:rPr>
          <w:rFonts w:ascii="Tahoma" w:cs="Tahoma" w:eastAsia="Tahoma" w:hAnsi="Tahoma"/>
          <w:sz w:val="18"/>
          <w:szCs w:val="18"/>
        </w:rPr>
        <w:t xml:space="preserve">The impact the excavation will have on access for emergency vehicles/personnel and egress of personnel in the event of an emergency.</w:t>
      </w:r>
    </w:p>
    <w:p>
      <w:pPr>
        <w:pStyle w:val="ListParagraph"/>
        <w:numPr>
          <w:ilvl w:val="0"/>
          <w:numId w:val="3"/>
        </w:numPr>
        <w:spacing w:after="40" w:line="264"/>
      </w:pPr>
      <w:r>
        <w:rPr>
          <w:rFonts w:ascii="Tahoma" w:cs="Tahoma" w:eastAsia="Tahoma" w:hAnsi="Tahoma"/>
          <w:sz w:val="18"/>
          <w:szCs w:val="18"/>
        </w:rPr>
        <w:t xml:space="preserve">Means of entry and exit.</w:t>
      </w:r>
    </w:p>
    <w:p>
      <w:pPr>
        <w:pStyle w:val="ListParagraph"/>
        <w:numPr>
          <w:ilvl w:val="0"/>
          <w:numId w:val="2"/>
        </w:numPr>
        <w:spacing w:after="60" w:line="268"/>
        <w:jc w:val="both"/>
      </w:pPr>
      <w:r>
        <w:rPr>
          <w:rFonts w:ascii="Tahoma" w:cs="Tahoma" w:eastAsia="Tahoma" w:hAnsi="Tahoma"/>
          <w:sz w:val="20"/>
          <w:szCs w:val="20"/>
        </w:rPr>
        <w:t xml:space="preserve">A Pre-Excavation Checklist shall be properly completed and made available upon request.</w:t>
      </w:r>
    </w:p>
    <w:p>
      <w:pPr>
        <w:pStyle w:val="ListParagraph"/>
        <w:numPr>
          <w:ilvl w:val="0"/>
          <w:numId w:val="2"/>
        </w:numPr>
        <w:spacing w:after="60" w:line="268"/>
        <w:jc w:val="both"/>
      </w:pPr>
      <w:r>
        <w:rPr>
          <w:rFonts w:ascii="Tahoma" w:cs="Tahoma" w:eastAsia="Tahoma" w:hAnsi="Tahoma"/>
          <w:sz w:val="20"/>
          <w:szCs w:val="20"/>
        </w:rPr>
        <w:t xml:space="preserve">Adequate and suitable protective systems (i.e., benching, sloping, or shoring) shall be planned for if the excavation will be at a depth of 1.2 m (4 ft) or more in soil other than stable rock, Excavations less than 1.2 m (4 ft) deep may also require protective systems if sidewall cave-in hazards exist.</w:t>
      </w:r>
    </w:p>
    <w:p>
      <w:pPr>
        <w:pStyle w:val="ListParagraph"/>
        <w:numPr>
          <w:ilvl w:val="0"/>
          <w:numId w:val="2"/>
        </w:numPr>
        <w:spacing w:after="60" w:line="268"/>
        <w:jc w:val="both"/>
      </w:pPr>
      <w:r>
        <w:rPr>
          <w:rFonts w:ascii="Tahoma" w:cs="Tahoma" w:eastAsia="Tahoma" w:hAnsi="Tahoma"/>
          <w:sz w:val="20"/>
          <w:szCs w:val="20"/>
        </w:rPr>
        <w:t xml:space="preserve">Excavation planning shall be prepared as follows:</w:t>
      </w:r>
    </w:p>
    <w:p>
      <w:pPr>
        <w:pStyle w:val="ListParagraph"/>
        <w:numPr>
          <w:ilvl w:val="0"/>
          <w:numId w:val="3"/>
        </w:numPr>
        <w:spacing w:after="40" w:line="264"/>
      </w:pPr>
      <w:r>
        <w:rPr>
          <w:rFonts w:ascii="Tahoma" w:cs="Tahoma" w:eastAsia="Tahoma" w:hAnsi="Tahoma"/>
          <w:sz w:val="18"/>
          <w:szCs w:val="18"/>
        </w:rPr>
        <w:t xml:space="preserve">For excavations greater than 6 m (20 ft) deep, regardless of soil type, an excavation plan (e.g., shoring design calculations and drawings) shall be developed by a civil/ structural engineer.</w:t>
      </w:r>
    </w:p>
    <w:p>
      <w:pPr>
        <w:pStyle w:val="ListParagraph"/>
        <w:numPr>
          <w:ilvl w:val="0"/>
          <w:numId w:val="3"/>
        </w:numPr>
        <w:spacing w:after="40" w:line="264"/>
      </w:pPr>
      <w:r>
        <w:rPr>
          <w:rFonts w:ascii="Tahoma" w:cs="Tahoma" w:eastAsia="Tahoma" w:hAnsi="Tahoma"/>
          <w:sz w:val="18"/>
          <w:szCs w:val="18"/>
        </w:rPr>
        <w:t xml:space="preserve">If an excavation requires and shoring is used, the plan shall: ▪ Describe the materials and shoring system to be used. ▪ Indicate whether any shoring components will remain after filling or backfilling. ▪ Provide plans, sketches, and/or details along with calculations.</w:t>
      </w:r>
    </w:p>
    <w:p>
      <w:pPr>
        <w:pStyle w:val="ListParagraph"/>
        <w:numPr>
          <w:ilvl w:val="0"/>
          <w:numId w:val="3"/>
        </w:numPr>
        <w:spacing w:after="40" w:line="264"/>
      </w:pPr>
      <w:r>
        <w:rPr>
          <w:rFonts w:ascii="Tahoma" w:cs="Tahoma" w:eastAsia="Tahoma" w:hAnsi="Tahoma"/>
          <w:sz w:val="18"/>
          <w:szCs w:val="18"/>
        </w:rPr>
        <w:t xml:space="preserve">Excavations greater than 2.4 m (8 ft) deep in Type B or C soil, shoring design, calculations, and drawings shall be developed by a degree qualified civil/structural engineer. Depth Stable Rock Soil Type A Soil Type B Soil Type C</w:t>
      </w:r>
    </w:p>
    <w:p>
      <w:pPr>
        <w:pStyle w:val="Heading1"/>
      </w:pPr>
      <w:bookmarkStart w:id="9007" w:name="_DanToc9007"/>
      <w:r>
        <w:t xml:space="preserve">1.2 m (4 ft)</w:t>
      </w:r>
      <w:bookmarkEnd w:id="9007"/>
    </w:p>
    <w:p>
      <w:pPr>
        <w:pStyle w:val="Heading1"/>
      </w:pPr>
      <w:bookmarkStart w:id="9008" w:name="_DanToc9008"/>
      <w:r>
        <w:t xml:space="preserve">2.4 m (8 ft)</w:t>
      </w:r>
      <w:bookmarkEnd w:id="9008"/>
    </w:p>
    <w:p>
      <w:pPr>
        <w:spacing w:after="120" w:line="276"/>
        <w:jc w:val="both"/>
      </w:pPr>
      <w:r>
        <w:rPr>
          <w:rFonts w:ascii="Tahoma" w:cs="Tahoma" w:eastAsia="Tahoma" w:hAnsi="Tahoma"/>
          <w:sz w:val="20"/>
          <w:szCs w:val="20"/>
        </w:rPr>
        <w:t xml:space="preserve">Excavation Competent Person Excavation Competent Person Excavation Competent Person Excavation Competent Person &lt; 2.4 m (8 ft) – 6 m (20 ft) Excavation Competent Person Excavation Competent Person Civil/Structural Engineer Civil/Structural Engineer &lt; 6 m (20 ft) Civil/Structural Engineer Civil/Structural Engineer Civil/Structural Engineer Civil/Structural Engineer</w:t>
      </w:r>
    </w:p>
    <w:p>
      <w:pPr>
        <w:pStyle w:val="Heading1"/>
      </w:pPr>
      <w:bookmarkStart w:id="9009" w:name="_DanToc9009"/>
      <w:r>
        <w:t xml:space="preserve">3. Permit System</w:t>
      </w:r>
      <w:bookmarkEnd w:id="9009"/>
    </w:p>
    <w:p>
      <w:pPr>
        <w:pStyle w:val="ListParagraph"/>
        <w:numPr>
          <w:ilvl w:val="0"/>
          <w:numId w:val="2"/>
        </w:numPr>
        <w:spacing w:after="60" w:line="268"/>
        <w:jc w:val="both"/>
      </w:pPr>
      <w:r>
        <w:rPr>
          <w:rFonts w:ascii="Tahoma" w:cs="Tahoma" w:eastAsia="Tahoma" w:hAnsi="Tahoma"/>
          <w:sz w:val="20"/>
          <w:szCs w:val="20"/>
        </w:rPr>
        <w:t xml:space="preserve">Excavation permits to work “EPTW” shall be obtained as required before excavation work is started.</w:t>
      </w:r>
    </w:p>
    <w:p>
      <w:pPr>
        <w:pStyle w:val="ListParagraph"/>
        <w:numPr>
          <w:ilvl w:val="0"/>
          <w:numId w:val="2"/>
        </w:numPr>
        <w:spacing w:after="60" w:line="268"/>
        <w:jc w:val="both"/>
      </w:pPr>
      <w:r>
        <w:rPr>
          <w:rFonts w:ascii="Tahoma" w:cs="Tahoma" w:eastAsia="Tahoma" w:hAnsi="Tahoma"/>
          <w:sz w:val="20"/>
          <w:szCs w:val="20"/>
        </w:rPr>
        <w:t xml:space="preserve">The permit issuer shall ensure that underground utilities/installations have been located and marked before excavation activities begin.</w:t>
      </w:r>
    </w:p>
    <w:p>
      <w:pPr>
        <w:pStyle w:val="ListParagraph"/>
        <w:numPr>
          <w:ilvl w:val="0"/>
          <w:numId w:val="2"/>
        </w:numPr>
        <w:spacing w:after="60" w:line="268"/>
        <w:jc w:val="both"/>
      </w:pPr>
      <w:r>
        <w:rPr>
          <w:rFonts w:ascii="Tahoma" w:cs="Tahoma" w:eastAsia="Tahoma" w:hAnsi="Tahoma"/>
          <w:sz w:val="20"/>
          <w:szCs w:val="20"/>
        </w:rPr>
        <w:t xml:space="preserve">The contractor shall develop and implement its own work permit procedures subjected to SCS approval</w:t>
      </w:r>
    </w:p>
    <w:p>
      <w:pPr>
        <w:pStyle w:val="ListParagraph"/>
        <w:numPr>
          <w:ilvl w:val="0"/>
          <w:numId w:val="2"/>
        </w:numPr>
        <w:spacing w:after="60" w:line="268"/>
        <w:jc w:val="both"/>
      </w:pPr>
      <w:r>
        <w:rPr>
          <w:rFonts w:ascii="Tahoma" w:cs="Tahoma" w:eastAsia="Tahoma" w:hAnsi="Tahoma"/>
          <w:sz w:val="20"/>
          <w:szCs w:val="20"/>
        </w:rPr>
        <w:t xml:space="preserve">A properly completed confined space entry permit shall be obtained to enter excavations equal to or greater than 1.2 m (4 ft) deep.</w:t>
      </w:r>
    </w:p>
    <w:p>
      <w:pPr>
        <w:pStyle w:val="Heading1"/>
      </w:pPr>
      <w:bookmarkStart w:id="9010" w:name="_DanToc9010"/>
      <w:r>
        <w:t xml:space="preserve">4. Sidewall Cave-In protection</w:t>
      </w:r>
      <w:bookmarkEnd w:id="9010"/>
    </w:p>
    <w:p>
      <w:pPr>
        <w:pStyle w:val="ListParagraph"/>
        <w:numPr>
          <w:ilvl w:val="0"/>
          <w:numId w:val="2"/>
        </w:numPr>
        <w:spacing w:after="60" w:line="268"/>
        <w:jc w:val="both"/>
      </w:pPr>
      <w:r>
        <w:rPr>
          <w:rFonts w:ascii="Tahoma" w:cs="Tahoma" w:eastAsia="Tahoma" w:hAnsi="Tahoma"/>
          <w:sz w:val="20"/>
          <w:szCs w:val="20"/>
        </w:rPr>
        <w:t xml:space="preserve">Protective Systems</w:t>
      </w:r>
    </w:p>
    <w:p>
      <w:pPr>
        <w:pStyle w:val="ListParagraph"/>
        <w:numPr>
          <w:ilvl w:val="0"/>
          <w:numId w:val="3"/>
        </w:numPr>
        <w:spacing w:after="40" w:line="264"/>
      </w:pPr>
      <w:r>
        <w:rPr>
          <w:rFonts w:ascii="Tahoma" w:cs="Tahoma" w:eastAsia="Tahoma" w:hAnsi="Tahoma"/>
          <w:sz w:val="18"/>
          <w:szCs w:val="18"/>
        </w:rPr>
        <w:t xml:space="preserve">Suitable shoring shall be installed, or the sides benched or sloped back to a safe angle, for all excavations 1.2 m (4 ft) deep or greater, or for soil piles over 1.5 m (5 ft) high. Soil Type Maximum Allowable Slopes (H: V) for Excavations Less Than 6 m (20 ft) Deep Stable Rock Vertical (90⁰) Type A ¾:1 (53⁰) Type B 1:1 (45⁰) Type C 1-1/2:1 (34⁰)</w:t>
      </w:r>
    </w:p>
    <w:p>
      <w:pPr>
        <w:pStyle w:val="ListParagraph"/>
        <w:numPr>
          <w:ilvl w:val="0"/>
          <w:numId w:val="3"/>
        </w:numPr>
        <w:spacing w:after="40" w:line="264"/>
      </w:pPr>
      <w:r>
        <w:rPr>
          <w:rFonts w:ascii="Tahoma" w:cs="Tahoma" w:eastAsia="Tahoma" w:hAnsi="Tahoma"/>
          <w:sz w:val="18"/>
          <w:szCs w:val="18"/>
        </w:rPr>
        <w:t xml:space="preserve">Numbers shown in parentheses next to maximum allowable slopes are angles expressed in degrees from the horizontal. Angles have been rounded off.</w:t>
      </w:r>
    </w:p>
    <w:p>
      <w:pPr>
        <w:pStyle w:val="ListParagraph"/>
        <w:numPr>
          <w:ilvl w:val="0"/>
          <w:numId w:val="3"/>
        </w:numPr>
        <w:spacing w:after="40" w:line="264"/>
      </w:pPr>
      <w:r>
        <w:rPr>
          <w:rFonts w:ascii="Tahoma" w:cs="Tahoma" w:eastAsia="Tahoma" w:hAnsi="Tahoma"/>
          <w:sz w:val="18"/>
          <w:szCs w:val="18"/>
        </w:rPr>
        <w:t xml:space="preserve">The determination of slope angle, benches, or choice and design of shoring shall be based on an evaluation by the excavation competent person of pertinent factors, such as:</w:t>
      </w:r>
    </w:p>
    <w:p>
      <w:pPr>
        <w:pStyle w:val="ListParagraph"/>
        <w:numPr>
          <w:ilvl w:val="0"/>
          <w:numId w:val="3"/>
        </w:numPr>
        <w:spacing w:after="40" w:line="264"/>
      </w:pPr>
      <w:r>
        <w:rPr>
          <w:rFonts w:ascii="Tahoma" w:cs="Tahoma" w:eastAsia="Tahoma" w:hAnsi="Tahoma"/>
          <w:sz w:val="18"/>
          <w:szCs w:val="18"/>
        </w:rPr>
        <w:t xml:space="preserve">Type of soil (i.e., stable rock, Type A, B or C soil). Soil Type Description of Soil Type Stable Rock A natural solid mineral matter that can be excavated with vertical side, such as sandstone. Type A Previously undisturbed cohesive or cemented soil, such as clay or marl. Type B Less cohesive soil, such as a mix of sand, rocks, and clay. Type C Less cohesive soil. Examples are gravel, sand, muddy or freely seeping soils, submerged rock that is not stable, or layered system. ▪ Depth of excavation. ▪ Possible variation in water content of the soil while the excavation is open. ▪ Anticipated changes in soil from exposure to air, sun or water. ▪ Loading imposed by structures, equipment, overlying material or stored material. ▪ Vibrations from equipment, blasting, traffic, or other sources.</w:t>
      </w:r>
    </w:p>
    <w:p>
      <w:pPr>
        <w:pStyle w:val="ListParagraph"/>
        <w:numPr>
          <w:ilvl w:val="0"/>
          <w:numId w:val="3"/>
        </w:numPr>
        <w:spacing w:after="40" w:line="264"/>
      </w:pPr>
      <w:r>
        <w:rPr>
          <w:rFonts w:ascii="Tahoma" w:cs="Tahoma" w:eastAsia="Tahoma" w:hAnsi="Tahoma"/>
          <w:sz w:val="18"/>
          <w:szCs w:val="18"/>
        </w:rPr>
        <w:t xml:space="preserve">Since any previously disturbed soil is Type C soil, excavations in previously disturbed soil (e.g., fill) shall not be sloped at an angle greater than 1½ horizontal to 1 vertical, measured from the horizontal.</w:t>
      </w:r>
    </w:p>
    <w:p>
      <w:pPr>
        <w:pStyle w:val="ListParagraph"/>
        <w:numPr>
          <w:ilvl w:val="0"/>
          <w:numId w:val="3"/>
        </w:numPr>
        <w:spacing w:after="40" w:line="264"/>
      </w:pPr>
      <w:r>
        <w:rPr>
          <w:rFonts w:ascii="Tahoma" w:cs="Tahoma" w:eastAsia="Tahoma" w:hAnsi="Tahoma"/>
          <w:sz w:val="18"/>
          <w:szCs w:val="18"/>
        </w:rPr>
        <w:t xml:space="preserve">Shoring materials shall be in good condition.</w:t>
      </w:r>
    </w:p>
    <w:p>
      <w:pPr>
        <w:pStyle w:val="ListParagraph"/>
        <w:numPr>
          <w:ilvl w:val="0"/>
          <w:numId w:val="3"/>
        </w:numPr>
        <w:spacing w:after="40" w:line="264"/>
      </w:pPr>
      <w:r>
        <w:rPr>
          <w:rFonts w:ascii="Tahoma" w:cs="Tahoma" w:eastAsia="Tahoma" w:hAnsi="Tahoma"/>
          <w:sz w:val="18"/>
          <w:szCs w:val="18"/>
        </w:rPr>
        <w:t xml:space="preserve">Workers shall be trained to look for signs of shoring or sidewall bulge, surface cracking, sand penetration from behind shoring or cracked shoring, which can be a warning sign of a collapse that is about to happen.</w:t>
      </w:r>
    </w:p>
    <w:p>
      <w:pPr>
        <w:pStyle w:val="Heading1"/>
      </w:pPr>
      <w:bookmarkStart w:id="9011" w:name="_DanToc9011"/>
      <w:r>
        <w:t xml:space="preserve">5. Entry and Exit</w:t>
      </w:r>
      <w:bookmarkEnd w:id="9011"/>
    </w:p>
    <w:p>
      <w:pPr>
        <w:pStyle w:val="ListParagraph"/>
        <w:numPr>
          <w:ilvl w:val="0"/>
          <w:numId w:val="2"/>
        </w:numPr>
        <w:spacing w:after="60" w:line="268"/>
        <w:jc w:val="both"/>
      </w:pPr>
      <w:r>
        <w:rPr>
          <w:rFonts w:ascii="Tahoma" w:cs="Tahoma" w:eastAsia="Tahoma" w:hAnsi="Tahoma"/>
          <w:sz w:val="20"/>
          <w:szCs w:val="20"/>
        </w:rPr>
        <w:t xml:space="preserve">Stairways, ladders, ramps, and/or other safe means of egress shall be in excavations that are 1.2 m (4 ft) or more in-depth to require no more than 7.5 m (25 ft) of lateral travel distance for personnel (i.e., ladders shall be spaced at least every 15 m [50 ft] along a trench).</w:t>
      </w:r>
    </w:p>
    <w:p>
      <w:pPr>
        <w:pStyle w:val="ListParagraph"/>
        <w:numPr>
          <w:ilvl w:val="0"/>
          <w:numId w:val="2"/>
        </w:numPr>
        <w:spacing w:after="60" w:line="268"/>
        <w:jc w:val="both"/>
      </w:pPr>
      <w:r>
        <w:rPr>
          <w:rFonts w:ascii="Tahoma" w:cs="Tahoma" w:eastAsia="Tahoma" w:hAnsi="Tahoma"/>
          <w:sz w:val="20"/>
          <w:szCs w:val="20"/>
        </w:rPr>
        <w:t xml:space="preserve">Ladders shall rest on the bottom of the excavation and shall extend at least 1 m (3 ft) above the top landing point.</w:t>
      </w:r>
    </w:p>
    <w:p>
      <w:pPr>
        <w:pStyle w:val="ListParagraph"/>
        <w:numPr>
          <w:ilvl w:val="0"/>
          <w:numId w:val="2"/>
        </w:numPr>
        <w:spacing w:after="60" w:line="268"/>
        <w:jc w:val="both"/>
      </w:pPr>
      <w:r>
        <w:rPr>
          <w:rFonts w:ascii="Tahoma" w:cs="Tahoma" w:eastAsia="Tahoma" w:hAnsi="Tahoma"/>
          <w:sz w:val="20"/>
          <w:szCs w:val="20"/>
        </w:rPr>
        <w:t xml:space="preserve">Personnel shall not be in or near an excavation where they could be struck by operating heavy equipment (e.g., track hoes, rock breakers, backhoes). Personnel shall not be within the operating radius of the equipment.</w:t>
      </w:r>
    </w:p>
    <w:p>
      <w:pPr>
        <w:pStyle w:val="Heading1"/>
      </w:pPr>
      <w:bookmarkStart w:id="9012" w:name="_DanToc9012"/>
      <w:r>
        <w:t xml:space="preserve">6. Edge Protection, Markers, and Fixed Lighting</w:t>
      </w:r>
      <w:bookmarkEnd w:id="9012"/>
    </w:p>
    <w:p>
      <w:pPr>
        <w:pStyle w:val="ListParagraph"/>
        <w:numPr>
          <w:ilvl w:val="0"/>
          <w:numId w:val="2"/>
        </w:numPr>
        <w:spacing w:after="60" w:line="268"/>
        <w:jc w:val="both"/>
      </w:pPr>
      <w:r>
        <w:rPr>
          <w:rFonts w:ascii="Tahoma" w:cs="Tahoma" w:eastAsia="Tahoma" w:hAnsi="Tahoma"/>
          <w:sz w:val="20"/>
          <w:szCs w:val="20"/>
        </w:rPr>
        <w:t xml:space="preserve">Whenever it is necessary to place or operate power shovels, derricks, trucks, materials, soil banks or other heavy objects near an excavation, the sides of the excavation shall be sheet-piled, shored, and braced as necessary to safely resist the extra pressure.</w:t>
      </w:r>
    </w:p>
    <w:p>
      <w:pPr>
        <w:pStyle w:val="ListParagraph"/>
        <w:numPr>
          <w:ilvl w:val="0"/>
          <w:numId w:val="2"/>
        </w:numPr>
        <w:spacing w:after="60" w:line="268"/>
        <w:jc w:val="both"/>
      </w:pPr>
      <w:r>
        <w:rPr>
          <w:rFonts w:ascii="Tahoma" w:cs="Tahoma" w:eastAsia="Tahoma" w:hAnsi="Tahoma"/>
          <w:sz w:val="20"/>
          <w:szCs w:val="20"/>
        </w:rPr>
        <w:t xml:space="preserve">Only excavating and backfilling equipment (trackhoes, rock breakers, backhoes, front loaders, etc.) are permitted within 2 m (6.5 ft) of the edge of an excavation.</w:t>
      </w:r>
    </w:p>
    <w:p>
      <w:pPr>
        <w:pStyle w:val="ListParagraph"/>
        <w:numPr>
          <w:ilvl w:val="0"/>
          <w:numId w:val="2"/>
        </w:numPr>
        <w:spacing w:after="60" w:line="268"/>
        <w:jc w:val="both"/>
      </w:pPr>
      <w:r>
        <w:rPr>
          <w:rFonts w:ascii="Tahoma" w:cs="Tahoma" w:eastAsia="Tahoma" w:hAnsi="Tahoma"/>
          <w:sz w:val="20"/>
          <w:szCs w:val="20"/>
        </w:rPr>
        <w:t xml:space="preserve">Motor vehicles, cranes and heavy equipment shall be kept away from the edge of the excavation 2 m (6.5 ft) or the depth of the excavation, whichever is greatest, unless the excavation is in stable rock or is protected against collapse by shoring that has been designed or approved by a degreed civil/structural engineer.</w:t>
      </w:r>
    </w:p>
    <w:p>
      <w:pPr>
        <w:pStyle w:val="ListParagraph"/>
        <w:numPr>
          <w:ilvl w:val="0"/>
          <w:numId w:val="2"/>
        </w:numPr>
        <w:spacing w:after="60" w:line="268"/>
        <w:jc w:val="both"/>
      </w:pPr>
      <w:r>
        <w:rPr>
          <w:rFonts w:ascii="Tahoma" w:cs="Tahoma" w:eastAsia="Tahoma" w:hAnsi="Tahoma"/>
          <w:sz w:val="20"/>
          <w:szCs w:val="20"/>
        </w:rPr>
        <w:t xml:space="preserve">Hard barricades (e.g., concrete or water-filled plastic “jersey” barriers, metal fencing) shall be used to keep motor vehicles, cranes, and heavy equipment at the proper distance away from the excavation.</w:t>
      </w:r>
    </w:p>
    <w:p>
      <w:pPr>
        <w:pStyle w:val="ListParagraph"/>
        <w:numPr>
          <w:ilvl w:val="0"/>
          <w:numId w:val="2"/>
        </w:numPr>
        <w:spacing w:after="60" w:line="268"/>
        <w:jc w:val="both"/>
      </w:pPr>
      <w:r>
        <w:rPr>
          <w:rFonts w:ascii="Tahoma" w:cs="Tahoma" w:eastAsia="Tahoma" w:hAnsi="Tahoma"/>
          <w:sz w:val="20"/>
          <w:szCs w:val="20"/>
        </w:rPr>
        <w:t xml:space="preserve">When use of hard barriers is impractical inside DAN area (i.e., does not involve public access), vehicular traffic near the excavation shall be controlled by flagmen and the excavation shall be flagged with caution tape and well-lit for night.</w:t>
      </w:r>
    </w:p>
    <w:p>
      <w:pPr>
        <w:pStyle w:val="ListParagraph"/>
        <w:numPr>
          <w:ilvl w:val="0"/>
          <w:numId w:val="2"/>
        </w:numPr>
        <w:spacing w:after="60" w:line="268"/>
        <w:jc w:val="both"/>
      </w:pPr>
      <w:r>
        <w:rPr>
          <w:rFonts w:ascii="Tahoma" w:cs="Tahoma" w:eastAsia="Tahoma" w:hAnsi="Tahoma"/>
          <w:sz w:val="20"/>
          <w:szCs w:val="20"/>
        </w:rPr>
        <w:t xml:space="preserve">Pedestrian barricades shall be placed no less than 1 m (3 ft) from the edge of the excavation.</w:t>
      </w:r>
    </w:p>
    <w:p>
      <w:pPr>
        <w:pStyle w:val="ListParagraph"/>
        <w:numPr>
          <w:ilvl w:val="0"/>
          <w:numId w:val="2"/>
        </w:numPr>
        <w:spacing w:after="60" w:line="268"/>
        <w:jc w:val="both"/>
      </w:pPr>
      <w:r>
        <w:rPr>
          <w:rFonts w:ascii="Tahoma" w:cs="Tahoma" w:eastAsia="Tahoma" w:hAnsi="Tahoma"/>
          <w:sz w:val="20"/>
          <w:szCs w:val="20"/>
        </w:rPr>
        <w:t xml:space="preserve">If people or vehicles could be in the vicinity of the excavation after dark, warning lights shall be used to mark the limits of the work. If possible, the grade should slope away from the excavation.</w:t>
      </w:r>
    </w:p>
    <w:p>
      <w:pPr>
        <w:pStyle w:val="Heading1"/>
      </w:pPr>
      <w:bookmarkStart w:id="9013" w:name="_DanToc9013"/>
      <w:r>
        <w:t xml:space="preserve">7. Roads, Streets, and sidewalks</w:t>
      </w:r>
      <w:bookmarkEnd w:id="9013"/>
    </w:p>
    <w:p>
      <w:pPr>
        <w:pStyle w:val="ListParagraph"/>
        <w:numPr>
          <w:ilvl w:val="0"/>
          <w:numId w:val="2"/>
        </w:numPr>
        <w:spacing w:after="60" w:line="268"/>
        <w:jc w:val="both"/>
      </w:pPr>
      <w:r>
        <w:rPr>
          <w:rFonts w:ascii="Tahoma" w:cs="Tahoma" w:eastAsia="Tahoma" w:hAnsi="Tahoma"/>
          <w:sz w:val="20"/>
          <w:szCs w:val="20"/>
        </w:rPr>
        <w:t xml:space="preserve">Excavation work on or near roads, streets and sidewalks shall meet the requirements DAN and Government requirements and shall not be performed without prior approval of the relevant authorities.</w:t>
      </w:r>
    </w:p>
    <w:p>
      <w:pPr>
        <w:pStyle w:val="ListParagraph"/>
        <w:numPr>
          <w:ilvl w:val="0"/>
          <w:numId w:val="2"/>
        </w:numPr>
        <w:spacing w:after="60" w:line="268"/>
        <w:jc w:val="both"/>
      </w:pPr>
      <w:r>
        <w:rPr>
          <w:rFonts w:ascii="Tahoma" w:cs="Tahoma" w:eastAsia="Tahoma" w:hAnsi="Tahoma"/>
          <w:sz w:val="20"/>
          <w:szCs w:val="20"/>
        </w:rPr>
        <w:t xml:space="preserve">Saudi Arabian Government approval shall be obtained through SA Government Affairs prior to excavation work on, under (e.g., thrust boring), or near a public highway, railway, or utility right-of-way.</w:t>
      </w:r>
    </w:p>
    <w:p>
      <w:pPr>
        <w:pStyle w:val="ListParagraph"/>
        <w:numPr>
          <w:ilvl w:val="0"/>
          <w:numId w:val="2"/>
        </w:numPr>
        <w:spacing w:after="60" w:line="268"/>
        <w:jc w:val="both"/>
      </w:pPr>
      <w:r>
        <w:rPr>
          <w:rFonts w:ascii="Tahoma" w:cs="Tahoma" w:eastAsia="Tahoma" w:hAnsi="Tahoma"/>
          <w:sz w:val="20"/>
          <w:szCs w:val="20"/>
        </w:rPr>
        <w:t xml:space="preserve">Trenches in roads and streets shall be completely covered with properly designed steel plates where traffic flow needs to be maintained over the trench. Such trenches shall be properly shored to prevent a cave-in. The trench cover plate thickness shall be selected based on the width of the trench, grade of steel, and weight of heaviest expected traffic (e.g., fire truck, fully loaded tractor-trailer truck).</w:t>
      </w:r>
    </w:p>
    <w:p>
      <w:pPr>
        <w:pStyle w:val="Heading1"/>
      </w:pPr>
      <w:bookmarkStart w:id="9014" w:name="_DanToc9014"/>
      <w:r>
        <w:t xml:space="preserve">8. Backfilling</w:t>
      </w:r>
      <w:bookmarkEnd w:id="9014"/>
    </w:p>
    <w:p>
      <w:pPr>
        <w:pStyle w:val="ListParagraph"/>
        <w:numPr>
          <w:ilvl w:val="0"/>
          <w:numId w:val="2"/>
        </w:numPr>
        <w:spacing w:after="60" w:line="268"/>
        <w:jc w:val="both"/>
      </w:pPr>
      <w:r>
        <w:rPr>
          <w:rFonts w:ascii="Tahoma" w:cs="Tahoma" w:eastAsia="Tahoma" w:hAnsi="Tahoma"/>
          <w:sz w:val="20"/>
          <w:szCs w:val="20"/>
        </w:rPr>
        <w:t xml:space="preserve">Backfilling and removal of shoring shall be accomplished first by backfilling up to a level allowing for the removal of the lower braces. Another layer of backfill shall be positioned in the excavation up to the next layer of braces to be removed. Removal of shoring shall progress together with the backfill from the bottom to the top of the excavation. In unstable soil, ropes shall be used to pull out the jacks or braces from above after all employees have exited the excavation. All excavations shall be backfilled and the surface left in good condition.</w:t>
      </w:r>
    </w:p>
    <w:p>
      <w:pPr>
        <w:pStyle w:val="Heading1"/>
      </w:pPr>
      <w:bookmarkStart w:id="9015" w:name="_DanToc9015"/>
      <w:r>
        <w:t xml:space="preserve">Revision History</w:t>
      </w:r>
      <w:bookmarkEnd w:id="90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HSE — Minimum Requirement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01-000001-000000-DAN-HSE-MNR-000011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Excavations</dc:title>
  <dc:creator>DAN HSSE Management System</dc:creator>
  <cp:lastModifiedBy>Un-named</cp:lastModifiedBy>
  <cp:revision>1</cp:revision>
  <dcterms:created xsi:type="dcterms:W3CDTF">2026-09-01T08:21:25.275Z</dcterms:created>
  <dcterms:modified xsi:type="dcterms:W3CDTF">2026-09-01T08:21:25.275Z</dcterms:modified>
</cp:coreProperties>
</file>

<file path=docProps/custom.xml><?xml version="1.0" encoding="utf-8"?>
<Properties xmlns="http://schemas.openxmlformats.org/officeDocument/2006/custom-properties" xmlns:vt="http://schemas.openxmlformats.org/officeDocument/2006/docPropsVTypes"/>
</file>