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Field and Office Facilities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01-000001-000000-DAN-HSE-PRC-000022</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w:t>
            </w:r>
          </w:hyperlink>
        </w:p>
        <w:p>
          <w:pPr>
            <w:spacing w:after="40" w:line="259"/>
            <w:ind w:left="0"/>
          </w:pPr>
          <w:hyperlink w:anchor="_DanToc9004" w:history="1">
            <w:r>
              <w:rPr>
                <w:rFonts w:ascii="Tahoma" w:hAnsi="Tahoma" w:cs="Tahoma"/>
                <w:b/>
                <w:color w:val="542A12"/>
                <w:sz w:val="20"/>
              </w:rPr>
              <w:t xml:space="preserve">5. Facility Sanitation Plan</w:t>
            </w:r>
          </w:hyperlink>
        </w:p>
        <w:p>
          <w:pPr>
            <w:spacing w:after="40" w:line="259"/>
            <w:ind w:left="360"/>
          </w:pPr>
          <w:hyperlink w:anchor="_DanToc9005" w:history="1">
            <w:r>
              <w:rPr>
                <w:rFonts w:ascii="Tahoma" w:hAnsi="Tahoma" w:cs="Tahoma"/>
                <w:color w:val="444444"/>
                <w:sz w:val="19"/>
              </w:rPr>
              <w:t xml:space="preserve">5.1 Cooling and Heating</w:t>
            </w:r>
          </w:hyperlink>
        </w:p>
        <w:p>
          <w:pPr>
            <w:spacing w:after="40" w:line="259"/>
            <w:ind w:left="360"/>
          </w:pPr>
          <w:hyperlink w:anchor="_DanToc9006" w:history="1">
            <w:r>
              <w:rPr>
                <w:rFonts w:ascii="Tahoma" w:hAnsi="Tahoma" w:cs="Tahoma"/>
                <w:color w:val="444444"/>
                <w:sz w:val="19"/>
              </w:rPr>
              <w:t xml:space="preserve">5.2 Illumination</w:t>
            </w:r>
          </w:hyperlink>
        </w:p>
        <w:p>
          <w:pPr>
            <w:spacing w:after="40" w:line="259"/>
            <w:ind w:left="360"/>
          </w:pPr>
          <w:hyperlink w:anchor="_DanToc9007" w:history="1">
            <w:r>
              <w:rPr>
                <w:rFonts w:ascii="Tahoma" w:hAnsi="Tahoma" w:cs="Tahoma"/>
                <w:color w:val="444444"/>
                <w:sz w:val="19"/>
              </w:rPr>
              <w:t xml:space="preserve">5.3 Potable Water</w:t>
            </w:r>
          </w:hyperlink>
        </w:p>
        <w:p>
          <w:pPr>
            <w:spacing w:after="40" w:line="259"/>
            <w:ind w:left="360"/>
          </w:pPr>
          <w:hyperlink w:anchor="_DanToc9008" w:history="1">
            <w:r>
              <w:rPr>
                <w:rFonts w:ascii="Tahoma" w:hAnsi="Tahoma" w:cs="Tahoma"/>
                <w:color w:val="444444"/>
                <w:sz w:val="19"/>
              </w:rPr>
              <w:t xml:space="preserve">5.4 Toilet / Sanitary Facilities</w:t>
            </w:r>
          </w:hyperlink>
        </w:p>
        <w:p>
          <w:pPr>
            <w:spacing w:after="40" w:line="259"/>
            <w:ind w:left="360"/>
          </w:pPr>
          <w:hyperlink w:anchor="_DanToc9009" w:history="1">
            <w:r>
              <w:rPr>
                <w:rFonts w:ascii="Tahoma" w:hAnsi="Tahoma" w:cs="Tahoma"/>
                <w:color w:val="444444"/>
                <w:sz w:val="19"/>
              </w:rPr>
              <w:t xml:space="preserve">5.5 Washing and Shower Facilities</w:t>
            </w:r>
          </w:hyperlink>
        </w:p>
        <w:p>
          <w:pPr>
            <w:spacing w:after="40" w:line="259"/>
            <w:ind w:left="360"/>
          </w:pPr>
          <w:hyperlink w:anchor="_DanToc9010" w:history="1">
            <w:r>
              <w:rPr>
                <w:rFonts w:ascii="Tahoma" w:hAnsi="Tahoma" w:cs="Tahoma"/>
                <w:color w:val="444444"/>
                <w:sz w:val="19"/>
              </w:rPr>
              <w:t xml:space="preserve">5.6 Non-Potable Water</w:t>
            </w:r>
          </w:hyperlink>
        </w:p>
        <w:p>
          <w:pPr>
            <w:spacing w:after="40" w:line="259"/>
            <w:ind w:left="360"/>
          </w:pPr>
          <w:hyperlink w:anchor="_DanToc9011" w:history="1">
            <w:r>
              <w:rPr>
                <w:rFonts w:ascii="Tahoma" w:hAnsi="Tahoma" w:cs="Tahoma"/>
                <w:color w:val="444444"/>
                <w:sz w:val="19"/>
              </w:rPr>
              <w:t xml:space="preserve">5.7 Food Service</w:t>
            </w:r>
          </w:hyperlink>
        </w:p>
        <w:p>
          <w:pPr>
            <w:spacing w:after="40" w:line="259"/>
            <w:ind w:left="360"/>
          </w:pPr>
          <w:hyperlink w:anchor="_DanToc9012" w:history="1">
            <w:r>
              <w:rPr>
                <w:rFonts w:ascii="Tahoma" w:hAnsi="Tahoma" w:cs="Tahoma"/>
                <w:color w:val="444444"/>
                <w:sz w:val="19"/>
              </w:rPr>
              <w:t xml:space="preserve">5.8 Notice Board, Medical, Pest Control and Temporary Facilities</w:t>
            </w:r>
          </w:hyperlink>
        </w:p>
        <w:p>
          <w:pPr>
            <w:spacing w:after="40" w:line="259"/>
            <w:ind w:left="0"/>
          </w:pPr>
          <w:hyperlink w:anchor="_DanToc9013" w:history="1">
            <w:r>
              <w:rPr>
                <w:rFonts w:ascii="Tahoma" w:hAnsi="Tahoma" w:cs="Tahoma"/>
                <w:b/>
                <w:color w:val="542A12"/>
                <w:sz w:val="20"/>
              </w:rPr>
              <w:t xml:space="preserve">6. Cleaning, Maintenance and Inspections</w:t>
            </w:r>
          </w:hyperlink>
        </w:p>
        <w:p>
          <w:pPr>
            <w:spacing w:after="40" w:line="259"/>
            <w:ind w:left="0"/>
          </w:pPr>
          <w:hyperlink w:anchor="_DanToc9014" w:history="1">
            <w:r>
              <w:rPr>
                <w:rFonts w:ascii="Tahoma" w:hAnsi="Tahoma" w:cs="Tahoma"/>
                <w:b/>
                <w:color w:val="542A12"/>
                <w:sz w:val="20"/>
              </w:rPr>
              <w:t xml:space="preserve">7. Records</w:t>
            </w:r>
          </w:hyperlink>
        </w:p>
        <w:p>
          <w:pPr>
            <w:spacing w:after="40" w:line="259"/>
            <w:ind w:left="0"/>
          </w:pPr>
          <w:hyperlink w:anchor="_DanToc9015" w:history="1">
            <w:r>
              <w:rPr>
                <w:rFonts w:ascii="Tahoma" w:hAnsi="Tahoma" w:cs="Tahoma"/>
                <w:b/>
                <w:color w:val="542A12"/>
                <w:sz w:val="20"/>
              </w:rPr>
              <w:t xml:space="preserve">8. Related Documents</w:t>
            </w:r>
          </w:hyperlink>
        </w:p>
        <w:p>
          <w:pPr>
            <w:spacing w:after="40" w:line="259"/>
            <w:ind w:left="0"/>
          </w:pPr>
          <w:hyperlink w:anchor="_DanToc9016" w:history="1">
            <w:r>
              <w:rPr>
                <w:rFonts w:ascii="Tahoma" w:hAnsi="Tahoma" w:cs="Tahoma"/>
                <w:b/>
                <w:color w:val="542A12"/>
                <w:sz w:val="20"/>
              </w:rPr>
              <w:t xml:space="preserve">Figures and Illustrations</w:t>
            </w:r>
          </w:hyperlink>
        </w:p>
        <w:p>
          <w:pPr>
            <w:spacing w:after="40" w:line="259"/>
            <w:ind w:left="0"/>
          </w:pPr>
          <w:hyperlink w:anchor="_DanToc9017"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the requirements for sanitation, hygiene, lighting and housekeeping at DAN CONTRACTOR field facilities and project field offices.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apply to mobile crews or normally unattended work locations where personnel have transport immediately available to nearby facilities meeting these requirements.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DAN construction site offices, welfare facilities and temporary structures occupied or used by personnel.</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KSA Ministry of Health and Supreme Council of Health requirements</w:t>
      </w:r>
    </w:p>
    <w:p>
      <w:pPr>
        <w:pStyle w:val="ListParagraph"/>
        <w:numPr>
          <w:ilvl w:val="0"/>
          <w:numId w:val="2"/>
        </w:numPr>
        <w:spacing w:after="60" w:line="268"/>
        <w:jc w:val="both"/>
      </w:pPr>
      <w:r>
        <w:rPr>
          <w:rFonts w:ascii="Tahoma" w:cs="Tahoma" w:eastAsia="Tahoma" w:hAnsi="Tahoma"/>
          <w:sz w:val="20"/>
          <w:szCs w:val="20"/>
        </w:rPr>
        <w:t xml:space="preserve">ASCE 7 (temporary-structure loads)</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Automated External Defibrillator (AED)</w:t>
      </w:r>
    </w:p>
    <w:p>
      <w:pPr>
        <w:pStyle w:val="Heading1"/>
      </w:pPr>
      <w:bookmarkStart w:id="9003" w:name="_DanToc9003"/>
      <w:r>
        <w:t xml:space="preserve">4. Deliverable</w:t>
      </w:r>
      <w:bookmarkEnd w:id="9003"/>
    </w:p>
    <w:p>
      <w:pPr>
        <w:pStyle w:val="ListParagraph"/>
        <w:numPr>
          <w:ilvl w:val="0"/>
          <w:numId w:val="2"/>
        </w:numPr>
        <w:spacing w:after="60" w:line="268"/>
        <w:jc w:val="both"/>
      </w:pPr>
      <w:r>
        <w:rPr>
          <w:rFonts w:ascii="Tahoma" w:cs="Tahoma" w:eastAsia="Tahoma" w:hAnsi="Tahoma"/>
          <w:sz w:val="20"/>
          <w:szCs w:val="20"/>
        </w:rPr>
        <w:t xml:space="preserve">Project Facility Sanitation Plan.</w:t>
      </w:r>
    </w:p>
    <w:p>
      <w:pPr>
        <w:pStyle w:val="Heading1"/>
      </w:pPr>
      <w:bookmarkStart w:id="9004" w:name="_DanToc9004"/>
      <w:r>
        <w:t xml:space="preserve">5. Facility Sanitation Plan</w:t>
      </w:r>
      <w:bookmarkEnd w:id="9004"/>
    </w:p>
    <w:p>
      <w:pPr>
        <w:spacing w:after="120" w:line="276"/>
        <w:jc w:val="both"/>
      </w:pPr>
      <w:r>
        <w:rPr>
          <w:rFonts w:ascii="Tahoma" w:cs="Tahoma" w:eastAsia="Tahoma" w:hAnsi="Tahoma"/>
          <w:sz w:val="20"/>
          <w:szCs w:val="20"/>
        </w:rPr>
        <w:t xml:space="preserve">During the design phase, the SH&amp;E Representative develops a Facility Sanitation Plan for maintaining clean, sanitary facilities. As a minimum it shall address the potable and non-potable water sources and distribution/testing, the number of toilets, washing stations, changing rooms and showers, waste collection and disposal, designated smoking areas, vermin control, temporary facilities, eating and praying areas, housekeeping, and inspection and maintenance. The Project Manager reviews and approves the Plan, coordinates the facilities and designates responsible personnel.</w:t>
      </w:r>
    </w:p>
    <w:p>
      <w:pPr>
        <w:pStyle w:val="Heading2"/>
      </w:pPr>
      <w:bookmarkStart w:id="9005" w:name="_DanToc9005"/>
      <w:r>
        <w:t xml:space="preserve">5.1 Cooling and Heating</w:t>
      </w:r>
      <w:bookmarkEnd w:id="9005"/>
    </w:p>
    <w:p>
      <w:pPr>
        <w:pStyle w:val="ListParagraph"/>
        <w:numPr>
          <w:ilvl w:val="0"/>
          <w:numId w:val="2"/>
        </w:numPr>
        <w:spacing w:after="60" w:line="268"/>
        <w:jc w:val="both"/>
      </w:pPr>
      <w:r>
        <w:rPr>
          <w:rFonts w:ascii="Tahoma" w:cs="Tahoma" w:eastAsia="Tahoma" w:hAnsi="Tahoma"/>
          <w:sz w:val="20"/>
          <w:szCs w:val="20"/>
        </w:rPr>
        <w:t xml:space="preserve">Air-conditioning is mandatory for all habitable buildings occupied by personnel; central and split AC units shall also provide heat.</w:t>
      </w:r>
    </w:p>
    <w:p>
      <w:pPr>
        <w:pStyle w:val="ListParagraph"/>
        <w:numPr>
          <w:ilvl w:val="0"/>
          <w:numId w:val="2"/>
        </w:numPr>
        <w:spacing w:after="60" w:line="268"/>
        <w:jc w:val="both"/>
      </w:pPr>
      <w:r>
        <w:rPr>
          <w:rFonts w:ascii="Tahoma" w:cs="Tahoma" w:eastAsia="Tahoma" w:hAnsi="Tahoma"/>
          <w:sz w:val="20"/>
          <w:szCs w:val="20"/>
        </w:rPr>
        <w:t xml:space="preserve">Heaters shall be inspected, tagged and installed by a certified electrician before use; portable heaters are prohibited in all DAN site offices.</w:t>
      </w:r>
    </w:p>
    <w:p>
      <w:pPr>
        <w:pStyle w:val="ListParagraph"/>
        <w:numPr>
          <w:ilvl w:val="0"/>
          <w:numId w:val="2"/>
        </w:numPr>
        <w:spacing w:after="60" w:line="268"/>
        <w:jc w:val="both"/>
      </w:pPr>
      <w:r>
        <w:rPr>
          <w:rFonts w:ascii="Tahoma" w:cs="Tahoma" w:eastAsia="Tahoma" w:hAnsi="Tahoma"/>
          <w:sz w:val="20"/>
          <w:szCs w:val="20"/>
        </w:rPr>
        <w:t xml:space="preserve">All opening windows in habitable buildings shall be fitted with insect screens.</w:t>
      </w:r>
    </w:p>
    <w:p>
      <w:pPr>
        <w:pStyle w:val="Heading2"/>
      </w:pPr>
      <w:bookmarkStart w:id="9006" w:name="_DanToc9006"/>
      <w:r>
        <w:t xml:space="preserve">5.2 Illumination</w:t>
      </w:r>
      <w:bookmarkEnd w:id="9006"/>
    </w:p>
    <w:p>
      <w:pPr>
        <w:spacing w:after="120" w:line="276"/>
        <w:jc w:val="both"/>
      </w:pPr>
      <w:r>
        <w:rPr>
          <w:rFonts w:ascii="Tahoma" w:cs="Tahoma" w:eastAsia="Tahoma" w:hAnsi="Tahoma"/>
          <w:sz w:val="20"/>
          <w:szCs w:val="20"/>
        </w:rPr>
        <w:t xml:space="preserve">Minimum illumination requirements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Facility / Function</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Lux</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Foot-candles</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indoor / construction areas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55</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outdoor areas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33</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Exit ways, walkways, ladders, stairs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Offices, drafting and meeting rooms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First-aid stations and infirmaries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Temporary electrical panels (interior)</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w:t>
            </w:r>
          </w:p>
        </w:tc>
      </w:tr>
      <w:tr>
        <w:tc>
          <w:tcPr>
            <w:tcW w:type="dxa" w:w="5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Tunnel/shaft heading during drilling, mucking, scaling</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shall not enter dark spaces without a flashlight or portable light; open flames are prohibited. Temporary lights shall have guards, heavy-duty cords, and grounded metal parts, and shall not overload branch circuits or create tripping hazards.</w:t>
      </w:r>
    </w:p>
    <w:p>
      <w:pPr>
        <w:pStyle w:val="Heading2"/>
      </w:pPr>
      <w:bookmarkStart w:id="9007" w:name="_DanToc9007"/>
      <w:r>
        <w:t xml:space="preserve">5.3 Potable Water</w:t>
      </w:r>
      <w:bookmarkEnd w:id="9007"/>
    </w:p>
    <w:p>
      <w:pPr>
        <w:pStyle w:val="ListParagraph"/>
        <w:numPr>
          <w:ilvl w:val="0"/>
          <w:numId w:val="2"/>
        </w:numPr>
        <w:spacing w:after="60" w:line="268"/>
        <w:jc w:val="both"/>
      </w:pPr>
      <w:r>
        <w:rPr>
          <w:rFonts w:ascii="Tahoma" w:cs="Tahoma" w:eastAsia="Tahoma" w:hAnsi="Tahoma"/>
          <w:sz w:val="20"/>
          <w:szCs w:val="20"/>
        </w:rPr>
        <w:t xml:space="preserve">Cooled drinking water shall be provided in site offices, mess areas and field rest shelters, with stations sited so all personnel are within a three-minute walk.</w:t>
      </w:r>
    </w:p>
    <w:p>
      <w:pPr>
        <w:pStyle w:val="ListParagraph"/>
        <w:numPr>
          <w:ilvl w:val="0"/>
          <w:numId w:val="2"/>
        </w:numPr>
        <w:spacing w:after="60" w:line="268"/>
        <w:jc w:val="both"/>
      </w:pPr>
      <w:r>
        <w:rPr>
          <w:rFonts w:ascii="Tahoma" w:cs="Tahoma" w:eastAsia="Tahoma" w:hAnsi="Tahoma"/>
          <w:sz w:val="20"/>
          <w:szCs w:val="20"/>
        </w:rPr>
        <w:t xml:space="preserve">The CONTRACTOR shall ensure water is of potable quality, install filters, chlorinators and disinfection units, and clean and maintain storage tanks (made of anti-corrosion materials).</w:t>
      </w:r>
    </w:p>
    <w:p>
      <w:pPr>
        <w:pStyle w:val="ListParagraph"/>
        <w:numPr>
          <w:ilvl w:val="0"/>
          <w:numId w:val="2"/>
        </w:numPr>
        <w:spacing w:after="60" w:line="268"/>
        <w:jc w:val="both"/>
      </w:pPr>
      <w:r>
        <w:rPr>
          <w:rFonts w:ascii="Tahoma" w:cs="Tahoma" w:eastAsia="Tahoma" w:hAnsi="Tahoma"/>
          <w:sz w:val="20"/>
          <w:szCs w:val="20"/>
        </w:rPr>
        <w:t xml:space="preserve">Dispense water by a means that prevents contamination (no dipping); use covered sources with taps, clearly marked “Safe Drinking Water”, with single-use cups and disposal receptacles. Clean containers at least weekly and refill at least daily.</w:t>
      </w:r>
    </w:p>
    <w:p>
      <w:pPr>
        <w:pStyle w:val="Heading2"/>
      </w:pPr>
      <w:bookmarkStart w:id="9008" w:name="_DanToc9008"/>
      <w:r>
        <w:t xml:space="preserve">5.4 Toilet / Sanitary Facilities</w:t>
      </w:r>
      <w:bookmarkEnd w:id="9008"/>
    </w:p>
    <w:p>
      <w:pPr>
        <w:spacing w:after="120" w:line="276"/>
        <w:jc w:val="both"/>
      </w:pPr>
      <w:r>
        <w:rPr>
          <w:rFonts w:ascii="Tahoma" w:cs="Tahoma" w:eastAsia="Tahoma" w:hAnsi="Tahoma"/>
          <w:sz w:val="20"/>
          <w:szCs w:val="20"/>
        </w:rPr>
        <w:t xml:space="preserve">Every site where personnel work more than four consecutive hours shall have sanitary facilities (toilets/urinals and handwashing basins) in convenient locations, with exhaust ventilation, impervious wipe-clean surfaces, partitioned toilets with lockable doors and screened urinals. Minimum provision by headcount: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Personnel</w:t>
            </w:r>
          </w:p>
        </w:tc>
        <w:tc>
          <w:tcPr>
            <w:tcW w:type="dxa" w:w="23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Toilets</w:t>
            </w:r>
          </w:p>
        </w:tc>
        <w:tc>
          <w:tcPr>
            <w:tcW w:type="dxa" w:w="23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Urinals</w:t>
            </w:r>
          </w:p>
        </w:tc>
        <w:tc>
          <w:tcPr>
            <w:tcW w:type="dxa" w:w="23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Washbasins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Up to 50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2,000</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w:t>
            </w:r>
          </w:p>
        </w:tc>
        <w:tc>
          <w:tcPr>
            <w:tcW w:type="dxa" w:w="23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w:t>
            </w:r>
          </w:p>
        </w:tc>
      </w:tr>
    </w:tbl>
    <w:p>
      <w:pPr>
        <w:pStyle w:val="ListParagraph"/>
        <w:numPr>
          <w:ilvl w:val="0"/>
          <w:numId w:val="2"/>
        </w:numPr>
        <w:spacing w:after="60" w:line="268"/>
        <w:jc w:val="both"/>
      </w:pPr>
      <w:r>
        <w:rPr>
          <w:rFonts w:ascii="Tahoma" w:cs="Tahoma" w:eastAsia="Tahoma" w:hAnsi="Tahoma"/>
          <w:sz w:val="20"/>
          <w:szCs w:val="20"/>
        </w:rPr>
        <w:t xml:space="preserve">Where sanitary sewers are unavailable, chemical, re-circulating or combustion toilets shall be used; where females are employed, separate facilities with one toilet per ten females shall be provided.</w:t>
      </w:r>
    </w:p>
    <w:p>
      <w:pPr>
        <w:pStyle w:val="ListParagraph"/>
        <w:numPr>
          <w:ilvl w:val="0"/>
          <w:numId w:val="2"/>
        </w:numPr>
        <w:spacing w:after="60" w:line="268"/>
        <w:jc w:val="both"/>
      </w:pPr>
      <w:r>
        <w:rPr>
          <w:rFonts w:ascii="Tahoma" w:cs="Tahoma" w:eastAsia="Tahoma" w:hAnsi="Tahoma"/>
          <w:sz w:val="20"/>
          <w:szCs w:val="20"/>
        </w:rPr>
        <w:t xml:space="preserve">Chemicals, toilet tissue, soap and paper towels shall be maintained in sufficient supply; septic tanks shall be emptied regularly; a dedicated cleaning team shall clean and disinfect facilities at least once before each shift.</w:t>
      </w:r>
    </w:p>
    <w:p>
      <w:pPr>
        <w:pStyle w:val="Heading2"/>
      </w:pPr>
      <w:bookmarkStart w:id="9009" w:name="_DanToc9009"/>
      <w:r>
        <w:t xml:space="preserve">5.5 Washing and Shower Facilities</w:t>
      </w:r>
      <w:bookmarkEnd w:id="9009"/>
    </w:p>
    <w:p>
      <w:pPr>
        <w:pStyle w:val="ListParagraph"/>
        <w:numPr>
          <w:ilvl w:val="0"/>
          <w:numId w:val="2"/>
        </w:numPr>
        <w:spacing w:after="60" w:line="268"/>
        <w:jc w:val="both"/>
      </w:pPr>
      <w:r>
        <w:rPr>
          <w:rFonts w:ascii="Tahoma" w:cs="Tahoma" w:eastAsia="Tahoma" w:hAnsi="Tahoma"/>
          <w:sz w:val="20"/>
          <w:szCs w:val="20"/>
        </w:rPr>
        <w:t xml:space="preserve">Washing facilities (soap, warm and cold running water, individual towels or air blowers) shall be provided adjacent to toilets and where harmful materials are handled; gasoline and solvents are prohibited for personal cleaning.</w:t>
      </w:r>
    </w:p>
    <w:p>
      <w:pPr>
        <w:pStyle w:val="ListParagraph"/>
        <w:numPr>
          <w:ilvl w:val="0"/>
          <w:numId w:val="2"/>
        </w:numPr>
        <w:spacing w:after="60" w:line="268"/>
        <w:jc w:val="both"/>
      </w:pPr>
      <w:r>
        <w:rPr>
          <w:rFonts w:ascii="Tahoma" w:cs="Tahoma" w:eastAsia="Tahoma" w:hAnsi="Tahoma"/>
          <w:sz w:val="20"/>
          <w:szCs w:val="20"/>
        </w:rPr>
        <w:t xml:space="preserve">Showers and changing rooms shall be provided where personnel work with regulated hazardous chemicals (e.g. lead, asbestos) — one shower per ten personnel of each sex per shift, with hot and cold water, soap and individual towels, and separate lockers for street and contaminated clothing.</w:t>
      </w:r>
    </w:p>
    <w:p>
      <w:pPr>
        <w:pStyle w:val="Heading2"/>
      </w:pPr>
      <w:bookmarkStart w:id="9010" w:name="_DanToc9010"/>
      <w:r>
        <w:t xml:space="preserve">5.6 Non-Potable Water</w:t>
      </w:r>
      <w:bookmarkEnd w:id="9010"/>
    </w:p>
    <w:p>
      <w:pPr>
        <w:spacing w:after="120" w:line="276"/>
        <w:jc w:val="both"/>
      </w:pPr>
      <w:r>
        <w:rPr>
          <w:rFonts w:ascii="Tahoma" w:cs="Tahoma" w:eastAsia="Tahoma" w:hAnsi="Tahoma"/>
          <w:sz w:val="20"/>
          <w:szCs w:val="20"/>
        </w:rPr>
        <w:t xml:space="preserve">Non-potable water may be used for cleaning work premises only, and never for food preparation, personal washing, washing utensils or clothing. Outlets shall be clearly posted “Caution — Water Unfit for Drinking, Washing or Cooking”. Cross-connections between potable and non-potable systems are prohibited.</w:t>
      </w:r>
    </w:p>
    <w:p>
      <w:pPr>
        <w:pStyle w:val="Heading2"/>
      </w:pPr>
      <w:bookmarkStart w:id="9011" w:name="_DanToc9011"/>
      <w:r>
        <w:t xml:space="preserve">5.7 Food Service</w:t>
      </w:r>
      <w:bookmarkEnd w:id="9011"/>
    </w:p>
    <w:p>
      <w:pPr>
        <w:pStyle w:val="ListParagraph"/>
        <w:numPr>
          <w:ilvl w:val="0"/>
          <w:numId w:val="2"/>
        </w:numPr>
        <w:spacing w:after="60" w:line="268"/>
        <w:jc w:val="both"/>
      </w:pPr>
      <w:r>
        <w:rPr>
          <w:rFonts w:ascii="Tahoma" w:cs="Tahoma" w:eastAsia="Tahoma" w:hAnsi="Tahoma"/>
          <w:sz w:val="20"/>
          <w:szCs w:val="20"/>
        </w:rPr>
        <w:t xml:space="preserve">Sufficient, conveniently accessible mess areas shall be provided — enclosed, dust-free and air-conditioned, away from work areas, fitted with tables and chairs for all personnel in a meal shift. Eating is restricted to the mess area.</w:t>
      </w:r>
    </w:p>
    <w:p>
      <w:pPr>
        <w:pStyle w:val="ListParagraph"/>
        <w:numPr>
          <w:ilvl w:val="0"/>
          <w:numId w:val="2"/>
        </w:numPr>
        <w:spacing w:after="60" w:line="268"/>
        <w:jc w:val="both"/>
      </w:pPr>
      <w:r>
        <w:rPr>
          <w:rFonts w:ascii="Tahoma" w:cs="Tahoma" w:eastAsia="Tahoma" w:hAnsi="Tahoma"/>
          <w:sz w:val="20"/>
          <w:szCs w:val="20"/>
        </w:rPr>
        <w:t xml:space="preserve">Cooking in the mess area is prohibited; on-site kitchens require advance written approval from the DAN Programme Director and comply with KSA food-safety regulations. Food shall be cooked, transported and stored per Ministry of Health hygiene requirements (temperature-controlled units, bain-marie/hot-cold wells with sneeze guards).</w:t>
      </w:r>
    </w:p>
    <w:p>
      <w:pPr>
        <w:pStyle w:val="ListParagraph"/>
        <w:numPr>
          <w:ilvl w:val="0"/>
          <w:numId w:val="2"/>
        </w:numPr>
        <w:spacing w:after="60" w:line="268"/>
        <w:jc w:val="both"/>
      </w:pPr>
      <w:r>
        <w:rPr>
          <w:rFonts w:ascii="Tahoma" w:cs="Tahoma" w:eastAsia="Tahoma" w:hAnsi="Tahoma"/>
          <w:sz w:val="20"/>
          <w:szCs w:val="20"/>
        </w:rPr>
        <w:t xml:space="preserve">A dedicated cleaning team shall clean and disinfect mess areas at least once before each meal break; food shall be wholesome and protected against contamination.</w:t>
      </w:r>
    </w:p>
    <w:p>
      <w:pPr>
        <w:pStyle w:val="Heading2"/>
      </w:pPr>
      <w:bookmarkStart w:id="9012" w:name="_DanToc9012"/>
      <w:r>
        <w:t xml:space="preserve">5.8 Notice Board, Medical, Pest Control and Temporary Facilities</w:t>
      </w:r>
      <w:bookmarkEnd w:id="9012"/>
    </w:p>
    <w:p>
      <w:pPr>
        <w:pStyle w:val="ListParagraph"/>
        <w:numPr>
          <w:ilvl w:val="0"/>
          <w:numId w:val="2"/>
        </w:numPr>
        <w:spacing w:after="60" w:line="268"/>
        <w:jc w:val="both"/>
      </w:pPr>
      <w:r>
        <w:rPr>
          <w:rFonts w:ascii="Tahoma" w:cs="Tahoma" w:eastAsia="Tahoma" w:hAnsi="Tahoma"/>
          <w:sz w:val="20"/>
          <w:szCs w:val="20"/>
        </w:rPr>
        <w:t xml:space="preserve">A site notice board shall display, in the required languages, the signed SH&amp;E Policy, names/locations of the nurse, first-aiders, SH&amp;E personnel and fire marshals, first-aid kit and AED locations, escape routes, muster points and site rules and working hours.</w:t>
      </w:r>
    </w:p>
    <w:p>
      <w:pPr>
        <w:pStyle w:val="ListParagraph"/>
        <w:numPr>
          <w:ilvl w:val="0"/>
          <w:numId w:val="2"/>
        </w:numPr>
        <w:spacing w:after="60" w:line="268"/>
        <w:jc w:val="both"/>
      </w:pPr>
      <w:r>
        <w:rPr>
          <w:rFonts w:ascii="Tahoma" w:cs="Tahoma" w:eastAsia="Tahoma" w:hAnsi="Tahoma"/>
          <w:sz w:val="20"/>
          <w:szCs w:val="20"/>
        </w:rPr>
        <w:t xml:space="preserve">Adequate medical provisions shall be provided per Supreme Council of Health requirements — an appointed first-aider where fewer than five personnel, one trained first-aid officer per fifty where over five, and a registered nurse where over one hundred; first-aid kits and AEDs shall be readily available and clearly marked.</w:t>
      </w:r>
    </w:p>
    <w:p>
      <w:pPr>
        <w:pStyle w:val="ListParagraph"/>
        <w:numPr>
          <w:ilvl w:val="0"/>
          <w:numId w:val="2"/>
        </w:numPr>
        <w:spacing w:after="60" w:line="268"/>
        <w:jc w:val="both"/>
      </w:pPr>
      <w:r>
        <w:rPr>
          <w:rFonts w:ascii="Tahoma" w:cs="Tahoma" w:eastAsia="Tahoma" w:hAnsi="Tahoma"/>
          <w:sz w:val="20"/>
          <w:szCs w:val="20"/>
        </w:rPr>
        <w:t xml:space="preserve">Pest-control measures shall be carried out regularly in offices, mess and sanitary areas using products non-toxic to humans and the environment; temporary structures shall be designed for dead/live, wind, seismic and soil loads (ASCE 7), anchored against wind, and sited on well-drained ground.</w:t>
      </w:r>
    </w:p>
    <w:p>
      <w:pPr>
        <w:pStyle w:val="Heading1"/>
      </w:pPr>
      <w:bookmarkStart w:id="9013" w:name="_DanToc9013"/>
      <w:r>
        <w:t xml:space="preserve">6. Cleaning, Maintenance and Inspections</w:t>
      </w:r>
      <w:bookmarkEnd w:id="9013"/>
    </w:p>
    <w:p>
      <w:pPr>
        <w:pStyle w:val="ListParagraph"/>
        <w:numPr>
          <w:ilvl w:val="0"/>
          <w:numId w:val="2"/>
        </w:numPr>
        <w:spacing w:after="60" w:line="268"/>
        <w:jc w:val="both"/>
      </w:pPr>
      <w:r>
        <w:rPr>
          <w:rFonts w:ascii="Tahoma" w:cs="Tahoma" w:eastAsia="Tahoma" w:hAnsi="Tahoma"/>
          <w:sz w:val="20"/>
          <w:szCs w:val="20"/>
        </w:rPr>
        <w:t xml:space="preserve">All worksites shall be kept clean and orderly; toilets, washing facilities, showers and changing rooms shall be maintained in good repair and cleaned weekly, with slip precautions; defective resources shall be repaired or removed from service immediately.</w:t>
      </w:r>
    </w:p>
    <w:p>
      <w:pPr>
        <w:pStyle w:val="ListParagraph"/>
        <w:numPr>
          <w:ilvl w:val="0"/>
          <w:numId w:val="2"/>
        </w:numPr>
        <w:spacing w:after="60" w:line="268"/>
        <w:jc w:val="both"/>
      </w:pPr>
      <w:r>
        <w:rPr>
          <w:rFonts w:ascii="Tahoma" w:cs="Tahoma" w:eastAsia="Tahoma" w:hAnsi="Tahoma"/>
          <w:sz w:val="20"/>
          <w:szCs w:val="20"/>
        </w:rPr>
        <w:t xml:space="preserve">Daily inspections of sanitary facilities, drinking water, food-service areas and temporary quarters shall be documented in an inspection log and submitted to the SH&amp;E Representative monthly.</w:t>
      </w:r>
    </w:p>
    <w:p>
      <w:pPr>
        <w:pStyle w:val="Heading1"/>
      </w:pPr>
      <w:bookmarkStart w:id="9014" w:name="_DanToc9014"/>
      <w:r>
        <w:t xml:space="preserve">7. Records</w:t>
      </w:r>
      <w:bookmarkEnd w:id="9014"/>
    </w:p>
    <w:p>
      <w:pPr>
        <w:spacing w:after="120" w:line="276"/>
        <w:jc w:val="both"/>
      </w:pPr>
      <w:r>
        <w:rPr>
          <w:rFonts w:ascii="Tahoma" w:cs="Tahoma" w:eastAsia="Tahoma" w:hAnsi="Tahoma"/>
          <w:sz w:val="20"/>
          <w:szCs w:val="20"/>
        </w:rPr>
        <w:t xml:space="preserve">The Facility Sanitation Plan, inspection logs and maintenance records shall be maintained on-site and made available to DAN on request.</w:t>
      </w:r>
    </w:p>
    <w:p>
      <w:pPr>
        <w:pStyle w:val="Heading1"/>
      </w:pPr>
      <w:bookmarkStart w:id="9015" w:name="_DanToc9015"/>
      <w:r>
        <w:t xml:space="preserve">8. Related Documents</w:t>
      </w:r>
      <w:bookmarkEnd w:id="9015"/>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Project Facility Sanitation Plan</w:t>
      </w:r>
    </w:p>
    <w:p>
      <w:pPr>
        <w:pStyle w:val="ListParagraph"/>
        <w:numPr>
          <w:ilvl w:val="0"/>
          <w:numId w:val="2"/>
        </w:numPr>
        <w:spacing w:after="60" w:line="268"/>
        <w:jc w:val="both"/>
      </w:pPr>
      <w:r>
        <w:rPr>
          <w:rFonts w:ascii="Tahoma" w:cs="Tahoma" w:eastAsia="Tahoma" w:hAnsi="Tahoma"/>
          <w:sz w:val="20"/>
          <w:szCs w:val="20"/>
        </w:rPr>
        <w:t xml:space="preserve">Facility Inspection Log</w:t>
      </w:r>
    </w:p>
    <w:p>
      <w:pPr>
        <w:pStyle w:val="Heading1"/>
      </w:pPr>
      <w:bookmarkStart w:id="9016" w:name="_DanToc9016"/>
      <w:r>
        <w:t xml:space="preserve">Figures and Illustrations</w:t>
      </w:r>
      <w:bookmarkEnd w:id="9016"/>
    </w:p>
    <w:p>
      <w:pPr>
        <w:keepNext/>
        <w:spacing w:after="40" w:before="140"/>
        <w:jc w:val="center"/>
      </w:pPr>
      <w:r>
        <w:drawing>
          <wp:inline distT="0" distB="0" distL="0" distR="0">
            <wp:extent cx="4095750" cy="1800225"/>
            <wp:effectExtent t="0" r="0" b="0" l="0"/>
            <wp:docPr id="1" name="Figure 22-1 Thermo Box" descr="Figure 22-1 Thermo Box" title="Figure 22-1 Thermo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800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22-1 Thermo Box</w:t>
      </w:r>
    </w:p>
    <w:p>
      <w:pPr>
        <w:keepNext/>
        <w:spacing w:after="40" w:before="140"/>
        <w:jc w:val="center"/>
      </w:pPr>
      <w:r>
        <w:drawing>
          <wp:inline distT="0" distB="0" distL="0" distR="0">
            <wp:extent cx="3600450" cy="3600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00450" cy="3600450"/>
                    </a:xfrm>
                    <a:prstGeom prst="rect">
                      <a:avLst/>
                    </a:prstGeom>
                  </pic:spPr>
                </pic:pic>
              </a:graphicData>
            </a:graphic>
          </wp:inline>
        </w:drawing>
      </w:r>
    </w:p>
    <w:p>
      <w:pPr>
        <w:keepNext/>
        <w:spacing w:after="40" w:before="140"/>
        <w:jc w:val="center"/>
      </w:pPr>
      <w:r>
        <w:drawing>
          <wp:inline distT="0" distB="0" distL="0" distR="0">
            <wp:extent cx="3171825" cy="22764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71825" cy="2276475"/>
                    </a:xfrm>
                    <a:prstGeom prst="rect">
                      <a:avLst/>
                    </a:prstGeom>
                  </pic:spPr>
                </pic:pic>
              </a:graphicData>
            </a:graphic>
          </wp:inline>
        </w:drawing>
      </w:r>
    </w:p>
    <w:p>
      <w:pPr>
        <w:keepNext/>
        <w:spacing w:after="40" w:before="140"/>
        <w:jc w:val="center"/>
      </w:pPr>
      <w:r>
        <w:drawing>
          <wp:inline distT="0" distB="0" distL="0" distR="0">
            <wp:extent cx="3714750" cy="1314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14750" cy="1314450"/>
                    </a:xfrm>
                    <a:prstGeom prst="rect">
                      <a:avLst/>
                    </a:prstGeom>
                  </pic:spPr>
                </pic:pic>
              </a:graphicData>
            </a:graphic>
          </wp:inline>
        </w:drawing>
      </w:r>
    </w:p>
    <w:p>
      <w:pPr>
        <w:pStyle w:val="Heading1"/>
      </w:pPr>
      <w:bookmarkStart w:id="9017" w:name="_DanToc9017"/>
      <w:r>
        <w:t xml:space="preserve">Revision History</w:t>
      </w:r>
      <w:bookmarkEnd w:id="90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Field and Office Facilities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01-000001-000000-DAN-HSE-PRC-000022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2f4a235c9fa2179f8e799357a710dc01e7bdc475.png"/><Relationship Id="rId11" Type="http://schemas.openxmlformats.org/officeDocument/2006/relationships/image" Target="media/1975e5ff93020b0b5795cba95fc56f6b31055b69.jpg"/><Relationship Id="rId12" Type="http://schemas.openxmlformats.org/officeDocument/2006/relationships/image" Target="media/c0c76ee50790889e16bdf183b8f8c8e6928e4101.jpg"/><Relationship Id="rId13" Type="http://schemas.openxmlformats.org/officeDocument/2006/relationships/image" Target="media/04c69b8214bc63ff1754b410aef5429e4d86b5e6.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and Office Facilities</dc:title>
  <dc:creator>DAN HSSE Management System</dc:creator>
  <cp:lastModifiedBy>Un-named</cp:lastModifiedBy>
  <cp:revision>1</cp:revision>
  <dcterms:created xsi:type="dcterms:W3CDTF">2026-06-27T22:37:37.154Z</dcterms:created>
  <dcterms:modified xsi:type="dcterms:W3CDTF">2026-06-27T22:37:37.154Z</dcterms:modified>
</cp:coreProperties>
</file>

<file path=docProps/custom.xml><?xml version="1.0" encoding="utf-8"?>
<Properties xmlns="http://schemas.openxmlformats.org/officeDocument/2006/custom-properties" xmlns:vt="http://schemas.openxmlformats.org/officeDocument/2006/docPropsVTypes"/>
</file>