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Blasting and Protective Coating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01-000001-000000-DAN-HSE-MNR-000005</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Standards</w:t>
            </w:r>
          </w:hyperlink>
        </w:p>
        <w:p>
          <w:pPr>
            <w:spacing w:after="40" w:line="259"/>
            <w:ind w:left="0"/>
          </w:pPr>
          <w:hyperlink w:anchor="_DanToc9004" w:history="1">
            <w:r>
              <w:rPr>
                <w:rFonts w:ascii="Tahoma" w:hAnsi="Tahoma" w:cs="Tahoma"/>
                <w:b/>
                <w:color w:val="542A12"/>
                <w:sz w:val="20"/>
              </w:rPr>
              <w:t xml:space="preserve">Tools and References</w:t>
            </w:r>
          </w:hyperlink>
        </w:p>
        <w:p>
          <w:pPr>
            <w:spacing w:after="40" w:line="259"/>
            <w:ind w:left="0"/>
          </w:pPr>
          <w:hyperlink w:anchor="_DanToc9005" w:history="1">
            <w:r>
              <w:rPr>
                <w:rFonts w:ascii="Tahoma" w:hAnsi="Tahoma" w:cs="Tahoma"/>
                <w:b/>
                <w:color w:val="542A12"/>
                <w:sz w:val="20"/>
              </w:rPr>
              <w:t xml:space="preserve">1. General requirements</w:t>
            </w:r>
          </w:hyperlink>
        </w:p>
        <w:p>
          <w:pPr>
            <w:spacing w:after="40" w:line="259"/>
            <w:ind w:left="0"/>
          </w:pPr>
          <w:hyperlink w:anchor="_DanToc9006" w:history="1">
            <w:r>
              <w:rPr>
                <w:rFonts w:ascii="Tahoma" w:hAnsi="Tahoma" w:cs="Tahoma"/>
                <w:b/>
                <w:color w:val="542A12"/>
                <w:sz w:val="20"/>
              </w:rPr>
              <w:t xml:space="preserve">2. Protective Coating</w:t>
            </w:r>
          </w:hyperlink>
        </w:p>
        <w:p>
          <w:pPr>
            <w:spacing w:after="40" w:line="259"/>
            <w:ind w:left="0"/>
          </w:pPr>
          <w:hyperlink w:anchor="_DanToc9007"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this blasting &amp; protective coating HSE minimum requirement is to outline the blasting hazards, associated risks, and specific control measures for abrasive blasting or coating procedure at DAN Company projects.</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and workplaces where abrasive blasting processes will be carried out and where abrasive blasting products and equipment are used and stored at DAN projects to ensure to comply with this procedure, including employees, contractors, tenants, and visitors.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Blasting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Abrasive grit blasting, or sand blast is a surface cleaning treatment process by compressed air.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Exclusion zone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zone is established to prevent or limit specific activities in a specific area.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Barrier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barrier is a device to demark an area containing a hazard. Barriers include demarcation tape, chains, etc.</w:t>
            </w:r>
          </w:p>
        </w:tc>
      </w:tr>
    </w:tbl>
    <w:p>
      <w:pPr>
        <w:pStyle w:val="Heading1"/>
      </w:pPr>
      <w:bookmarkStart w:id="9003" w:name="_DanToc9003"/>
      <w:r>
        <w:t xml:space="preserve">Standards</w:t>
      </w:r>
      <w:bookmarkEnd w:id="9003"/>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Kingdom of Saudi Arabia presidency of meteorology and environment.</w:t>
      </w:r>
    </w:p>
    <w:p>
      <w:pPr>
        <w:pStyle w:val="ListParagraph"/>
        <w:numPr>
          <w:ilvl w:val="0"/>
          <w:numId w:val="2"/>
        </w:numPr>
        <w:spacing w:after="60" w:line="268"/>
        <w:jc w:val="both"/>
      </w:pPr>
      <w:r>
        <w:rPr>
          <w:rFonts w:ascii="Tahoma" w:cs="Tahoma" w:eastAsia="Tahoma" w:hAnsi="Tahoma"/>
          <w:sz w:val="20"/>
          <w:szCs w:val="20"/>
        </w:rPr>
        <w:t xml:space="preserve">Technical regulations developed by the Saudi Arabian Standards Organization (saso).</w:t>
      </w:r>
    </w:p>
    <w:p>
      <w:pPr>
        <w:pStyle w:val="Heading1"/>
      </w:pPr>
      <w:bookmarkStart w:id="9004" w:name="_DanToc9004"/>
      <w:r>
        <w:t xml:space="preserve">Tools and References</w:t>
      </w:r>
      <w:bookmarkEnd w:id="9004"/>
    </w:p>
    <w:p>
      <w:pPr>
        <w:pStyle w:val="ListParagraph"/>
        <w:numPr>
          <w:ilvl w:val="0"/>
          <w:numId w:val="2"/>
        </w:numPr>
        <w:spacing w:after="60" w:line="268"/>
        <w:jc w:val="both"/>
      </w:pPr>
      <w:r>
        <w:rPr>
          <w:rFonts w:ascii="Tahoma" w:cs="Tahoma" w:eastAsia="Tahoma" w:hAnsi="Tahoma"/>
          <w:sz w:val="20"/>
          <w:szCs w:val="20"/>
        </w:rPr>
        <w:t xml:space="preserve">Daily tools, equipment inspection</w:t>
      </w:r>
    </w:p>
    <w:p>
      <w:pPr>
        <w:pStyle w:val="ListParagraph"/>
        <w:numPr>
          <w:ilvl w:val="0"/>
          <w:numId w:val="2"/>
        </w:numPr>
        <w:spacing w:after="60" w:line="268"/>
        <w:jc w:val="both"/>
      </w:pPr>
      <w:r>
        <w:rPr>
          <w:rFonts w:ascii="Tahoma" w:cs="Tahoma" w:eastAsia="Tahoma" w:hAnsi="Tahoma"/>
          <w:sz w:val="20"/>
          <w:szCs w:val="20"/>
        </w:rPr>
        <w:t xml:space="preserve">Osha standard 29 cfr 1910.94 (a) (5)(ii)(b) ventilation requirements.</w:t>
      </w:r>
    </w:p>
    <w:p>
      <w:pPr>
        <w:pStyle w:val="ListParagraph"/>
        <w:numPr>
          <w:ilvl w:val="0"/>
          <w:numId w:val="2"/>
        </w:numPr>
        <w:spacing w:after="60" w:line="268"/>
        <w:jc w:val="both"/>
      </w:pPr>
      <w:r>
        <w:rPr>
          <w:rFonts w:ascii="Tahoma" w:cs="Tahoma" w:eastAsia="Tahoma" w:hAnsi="Tahoma"/>
          <w:sz w:val="20"/>
          <w:szCs w:val="20"/>
        </w:rPr>
        <w:t xml:space="preserve">Method statement &amp; risk assessment</w:t>
      </w:r>
    </w:p>
    <w:p>
      <w:pPr>
        <w:pStyle w:val="ListParagraph"/>
        <w:numPr>
          <w:ilvl w:val="0"/>
          <w:numId w:val="2"/>
        </w:numPr>
        <w:spacing w:after="60" w:line="268"/>
        <w:jc w:val="both"/>
      </w:pPr>
      <w:r>
        <w:rPr>
          <w:rFonts w:ascii="Tahoma" w:cs="Tahoma" w:eastAsia="Tahoma" w:hAnsi="Tahoma"/>
          <w:sz w:val="20"/>
          <w:szCs w:val="20"/>
        </w:rPr>
        <w:t xml:space="preserve">Material safety data sheet</w:t>
      </w:r>
    </w:p>
    <w:p>
      <w:pPr>
        <w:pStyle w:val="ListParagraph"/>
        <w:numPr>
          <w:ilvl w:val="0"/>
          <w:numId w:val="2"/>
        </w:numPr>
        <w:spacing w:after="60" w:line="268"/>
        <w:jc w:val="both"/>
      </w:pPr>
      <w:r>
        <w:rPr>
          <w:rFonts w:ascii="Tahoma" w:cs="Tahoma" w:eastAsia="Tahoma" w:hAnsi="Tahoma"/>
          <w:sz w:val="20"/>
          <w:szCs w:val="20"/>
        </w:rPr>
        <w:t xml:space="preserve">Noise, dust &amp; ventilation assessment</w:t>
      </w:r>
    </w:p>
    <w:p>
      <w:pPr>
        <w:pStyle w:val="Heading1"/>
      </w:pPr>
      <w:bookmarkStart w:id="9005" w:name="_DanToc9005"/>
      <w:r>
        <w:t xml:space="preserve">1.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All operators of abrasive blasting equipment shall be instructed and trained in the correct use and hazards associated with abrasive blasting equipment and abrasive materials (e.g., inhalation hazards of grit).</w:t>
      </w:r>
    </w:p>
    <w:p>
      <w:pPr>
        <w:pStyle w:val="ListParagraph"/>
        <w:numPr>
          <w:ilvl w:val="0"/>
          <w:numId w:val="2"/>
        </w:numPr>
        <w:spacing w:after="60" w:line="268"/>
        <w:jc w:val="both"/>
      </w:pPr>
      <w:r>
        <w:rPr>
          <w:rFonts w:ascii="Tahoma" w:cs="Tahoma" w:eastAsia="Tahoma" w:hAnsi="Tahoma"/>
          <w:sz w:val="20"/>
          <w:szCs w:val="20"/>
        </w:rPr>
        <w:t xml:space="preserve">Breathing air filters shall be periodically checked and replaced as recommended by the manufacturer, but not less than every three months or sooner if objectionable odors become noticeable or if the filter begins to pass moisture. Water/oil traps shall be checked and drained daily.</w:t>
      </w:r>
    </w:p>
    <w:p>
      <w:pPr>
        <w:pStyle w:val="ListParagraph"/>
        <w:numPr>
          <w:ilvl w:val="0"/>
          <w:numId w:val="2"/>
        </w:numPr>
        <w:spacing w:after="60" w:line="268"/>
        <w:jc w:val="both"/>
      </w:pPr>
      <w:r>
        <w:rPr>
          <w:rFonts w:ascii="Tahoma" w:cs="Tahoma" w:eastAsia="Tahoma" w:hAnsi="Tahoma"/>
          <w:sz w:val="20"/>
          <w:szCs w:val="20"/>
        </w:rPr>
        <w:t xml:space="preserve">Other workers in or near the work area shall wear a particulate respirator approved by NIOSH/OSHA (or equivalent organization) for the airborne contaminants likely to occur from abrasive blasting operations and handling of abrasive blasting media (i.e., grit).</w:t>
      </w:r>
    </w:p>
    <w:p>
      <w:pPr>
        <w:pStyle w:val="ListParagraph"/>
        <w:numPr>
          <w:ilvl w:val="0"/>
          <w:numId w:val="2"/>
        </w:numPr>
        <w:spacing w:after="60" w:line="268"/>
        <w:jc w:val="both"/>
      </w:pPr>
      <w:r>
        <w:rPr>
          <w:rFonts w:ascii="Tahoma" w:cs="Tahoma" w:eastAsia="Tahoma" w:hAnsi="Tahoma"/>
          <w:sz w:val="20"/>
          <w:szCs w:val="20"/>
        </w:rPr>
        <w:t xml:space="preserve">Hearing protection shall be used by abrasive blasting operators and by all personnel in areas near abrasive blasting operations where noise levels exceed 85 decibels (dba).</w:t>
      </w:r>
    </w:p>
    <w:p>
      <w:pPr>
        <w:pStyle w:val="ListParagraph"/>
        <w:numPr>
          <w:ilvl w:val="0"/>
          <w:numId w:val="2"/>
        </w:numPr>
        <w:spacing w:after="60" w:line="268"/>
        <w:jc w:val="both"/>
      </w:pPr>
      <w:r>
        <w:rPr>
          <w:rFonts w:ascii="Tahoma" w:cs="Tahoma" w:eastAsia="Tahoma" w:hAnsi="Tahoma"/>
          <w:sz w:val="20"/>
          <w:szCs w:val="20"/>
        </w:rPr>
        <w:t xml:space="preserve">Specific competency-based training will be provided to all persons involved in abrasive blasting and protective coating activities, these include:</w:t>
      </w:r>
    </w:p>
    <w:p>
      <w:pPr>
        <w:pStyle w:val="ListParagraph"/>
        <w:numPr>
          <w:ilvl w:val="0"/>
          <w:numId w:val="3"/>
        </w:numPr>
        <w:spacing w:after="40" w:line="264"/>
      </w:pPr>
      <w:r>
        <w:rPr>
          <w:rFonts w:ascii="Tahoma" w:cs="Tahoma" w:eastAsia="Tahoma" w:hAnsi="Tahoma"/>
          <w:sz w:val="18"/>
          <w:szCs w:val="18"/>
        </w:rPr>
        <w:t xml:space="preserve">Managers/engineers / supervisors</w:t>
      </w:r>
    </w:p>
    <w:p>
      <w:pPr>
        <w:pStyle w:val="ListParagraph"/>
        <w:numPr>
          <w:ilvl w:val="0"/>
          <w:numId w:val="3"/>
        </w:numPr>
        <w:spacing w:after="40" w:line="264"/>
      </w:pPr>
      <w:r>
        <w:rPr>
          <w:rFonts w:ascii="Tahoma" w:cs="Tahoma" w:eastAsia="Tahoma" w:hAnsi="Tahoma"/>
          <w:sz w:val="18"/>
          <w:szCs w:val="18"/>
        </w:rPr>
        <w:t xml:space="preserve">Equipment operators/workers</w:t>
      </w:r>
    </w:p>
    <w:p>
      <w:pPr>
        <w:pStyle w:val="ListParagraph"/>
        <w:numPr>
          <w:ilvl w:val="0"/>
          <w:numId w:val="2"/>
        </w:numPr>
        <w:spacing w:after="60" w:line="268"/>
        <w:jc w:val="both"/>
      </w:pPr>
      <w:r>
        <w:rPr>
          <w:rFonts w:ascii="Tahoma" w:cs="Tahoma" w:eastAsia="Tahoma" w:hAnsi="Tahoma"/>
          <w:sz w:val="20"/>
          <w:szCs w:val="20"/>
        </w:rPr>
        <w:t xml:space="preserve">Abrasive blasting &amp; protective coating operations will apply the following hierarchy when selecting the workplace location.</w:t>
      </w:r>
    </w:p>
    <w:p>
      <w:pPr>
        <w:pStyle w:val="ListParagraph"/>
        <w:numPr>
          <w:ilvl w:val="0"/>
          <w:numId w:val="3"/>
        </w:numPr>
        <w:spacing w:after="40" w:line="264"/>
      </w:pPr>
      <w:r>
        <w:rPr>
          <w:rFonts w:ascii="Tahoma" w:cs="Tahoma" w:eastAsia="Tahoma" w:hAnsi="Tahoma"/>
          <w:sz w:val="18"/>
          <w:szCs w:val="18"/>
        </w:rPr>
        <w:t xml:space="preserve">Dedicated ‘blasting/coating booths’</w:t>
      </w:r>
    </w:p>
    <w:p>
      <w:pPr>
        <w:pStyle w:val="ListParagraph"/>
        <w:numPr>
          <w:ilvl w:val="0"/>
          <w:numId w:val="3"/>
        </w:numPr>
        <w:spacing w:after="40" w:line="264"/>
      </w:pPr>
      <w:r>
        <w:rPr>
          <w:rFonts w:ascii="Tahoma" w:cs="Tahoma" w:eastAsia="Tahoma" w:hAnsi="Tahoma"/>
          <w:sz w:val="18"/>
          <w:szCs w:val="18"/>
        </w:rPr>
        <w:t xml:space="preserve">Dedicated workrooms</w:t>
      </w:r>
    </w:p>
    <w:p>
      <w:pPr>
        <w:pStyle w:val="ListParagraph"/>
        <w:numPr>
          <w:ilvl w:val="0"/>
          <w:numId w:val="3"/>
        </w:numPr>
        <w:spacing w:after="40" w:line="264"/>
      </w:pPr>
      <w:r>
        <w:rPr>
          <w:rFonts w:ascii="Tahoma" w:cs="Tahoma" w:eastAsia="Tahoma" w:hAnsi="Tahoma"/>
          <w:sz w:val="18"/>
          <w:szCs w:val="18"/>
        </w:rPr>
        <w:t xml:space="preserve">Temporary blasting areas</w:t>
      </w:r>
    </w:p>
    <w:p>
      <w:pPr>
        <w:pStyle w:val="ListParagraph"/>
        <w:numPr>
          <w:ilvl w:val="0"/>
          <w:numId w:val="2"/>
        </w:numPr>
        <w:spacing w:after="60" w:line="268"/>
        <w:jc w:val="both"/>
      </w:pPr>
      <w:r>
        <w:rPr>
          <w:rFonts w:ascii="Tahoma" w:cs="Tahoma" w:eastAsia="Tahoma" w:hAnsi="Tahoma"/>
          <w:sz w:val="20"/>
          <w:szCs w:val="20"/>
        </w:rPr>
        <w:t xml:space="preserve">Exclusion zones:</w:t>
      </w:r>
    </w:p>
    <w:p>
      <w:pPr>
        <w:pStyle w:val="ListParagraph"/>
        <w:numPr>
          <w:ilvl w:val="0"/>
          <w:numId w:val="3"/>
        </w:numPr>
        <w:spacing w:after="40" w:line="264"/>
      </w:pPr>
      <w:r>
        <w:rPr>
          <w:rFonts w:ascii="Tahoma" w:cs="Tahoma" w:eastAsia="Tahoma" w:hAnsi="Tahoma"/>
          <w:sz w:val="18"/>
          <w:szCs w:val="18"/>
        </w:rPr>
        <w:t xml:space="preserve">Must be established for all abrasive blasting and protective coating work areas.</w:t>
      </w:r>
    </w:p>
    <w:p>
      <w:pPr>
        <w:pStyle w:val="ListParagraph"/>
        <w:numPr>
          <w:ilvl w:val="0"/>
          <w:numId w:val="3"/>
        </w:numPr>
        <w:spacing w:after="40" w:line="264"/>
      </w:pPr>
      <w:r>
        <w:rPr>
          <w:rFonts w:ascii="Tahoma" w:cs="Tahoma" w:eastAsia="Tahoma" w:hAnsi="Tahoma"/>
          <w:sz w:val="18"/>
          <w:szCs w:val="18"/>
        </w:rPr>
        <w:t xml:space="preserve">Must be clearly identified and control unauthorized access using physical barriers</w:t>
      </w:r>
    </w:p>
    <w:p>
      <w:pPr>
        <w:pStyle w:val="ListParagraph"/>
        <w:numPr>
          <w:ilvl w:val="0"/>
          <w:numId w:val="3"/>
        </w:numPr>
        <w:spacing w:after="40" w:line="264"/>
      </w:pPr>
      <w:r>
        <w:rPr>
          <w:rFonts w:ascii="Tahoma" w:cs="Tahoma" w:eastAsia="Tahoma" w:hAnsi="Tahoma"/>
          <w:sz w:val="18"/>
          <w:szCs w:val="18"/>
        </w:rPr>
        <w:t xml:space="preserve">Will be a min size 10mtrs horizontal and 4mtrs vertical above and below the place where abrasive blasting or protective coating is being applied</w:t>
      </w:r>
    </w:p>
    <w:p>
      <w:pPr>
        <w:pStyle w:val="ListParagraph"/>
        <w:numPr>
          <w:ilvl w:val="0"/>
          <w:numId w:val="2"/>
        </w:numPr>
        <w:spacing w:after="60" w:line="268"/>
        <w:jc w:val="both"/>
      </w:pPr>
      <w:r>
        <w:rPr>
          <w:rFonts w:ascii="Tahoma" w:cs="Tahoma" w:eastAsia="Tahoma" w:hAnsi="Tahoma"/>
          <w:sz w:val="20"/>
          <w:szCs w:val="20"/>
        </w:rPr>
        <w:t xml:space="preserve">Operational containment areas:</w:t>
      </w:r>
    </w:p>
    <w:p>
      <w:pPr>
        <w:pStyle w:val="ListParagraph"/>
        <w:numPr>
          <w:ilvl w:val="0"/>
          <w:numId w:val="3"/>
        </w:numPr>
        <w:spacing w:after="40" w:line="264"/>
      </w:pPr>
      <w:r>
        <w:rPr>
          <w:rFonts w:ascii="Tahoma" w:cs="Tahoma" w:eastAsia="Tahoma" w:hAnsi="Tahoma"/>
          <w:sz w:val="18"/>
          <w:szCs w:val="18"/>
        </w:rPr>
        <w:t xml:space="preserve">Must be approved and tested</w:t>
      </w:r>
    </w:p>
    <w:p>
      <w:pPr>
        <w:pStyle w:val="ListParagraph"/>
        <w:numPr>
          <w:ilvl w:val="0"/>
          <w:numId w:val="3"/>
        </w:numPr>
        <w:spacing w:after="40" w:line="264"/>
      </w:pPr>
      <w:r>
        <w:rPr>
          <w:rFonts w:ascii="Tahoma" w:cs="Tahoma" w:eastAsia="Tahoma" w:hAnsi="Tahoma"/>
          <w:sz w:val="18"/>
          <w:szCs w:val="18"/>
        </w:rPr>
        <w:t xml:space="preserve">Will include mechanically engineered airflow supplies</w:t>
      </w:r>
    </w:p>
    <w:p>
      <w:pPr>
        <w:pStyle w:val="ListParagraph"/>
        <w:numPr>
          <w:ilvl w:val="0"/>
          <w:numId w:val="3"/>
        </w:numPr>
        <w:spacing w:after="40" w:line="264"/>
      </w:pPr>
      <w:r>
        <w:rPr>
          <w:rFonts w:ascii="Tahoma" w:cs="Tahoma" w:eastAsia="Tahoma" w:hAnsi="Tahoma"/>
          <w:sz w:val="18"/>
          <w:szCs w:val="18"/>
        </w:rPr>
        <w:t xml:space="preserve">Will include local exhaust ventilation systems</w:t>
      </w:r>
    </w:p>
    <w:p>
      <w:pPr>
        <w:pStyle w:val="ListParagraph"/>
        <w:numPr>
          <w:ilvl w:val="0"/>
          <w:numId w:val="3"/>
        </w:numPr>
        <w:spacing w:after="40" w:line="264"/>
      </w:pPr>
      <w:r>
        <w:rPr>
          <w:rFonts w:ascii="Tahoma" w:cs="Tahoma" w:eastAsia="Tahoma" w:hAnsi="Tahoma"/>
          <w:sz w:val="18"/>
          <w:szCs w:val="18"/>
        </w:rPr>
        <w:t xml:space="preserve">Must prevent exposure to known hazards</w:t>
      </w:r>
    </w:p>
    <w:p>
      <w:pPr>
        <w:pStyle w:val="ListParagraph"/>
        <w:numPr>
          <w:ilvl w:val="0"/>
          <w:numId w:val="3"/>
        </w:numPr>
        <w:spacing w:after="40" w:line="264"/>
      </w:pPr>
      <w:r>
        <w:rPr>
          <w:rFonts w:ascii="Tahoma" w:cs="Tahoma" w:eastAsia="Tahoma" w:hAnsi="Tahoma"/>
          <w:sz w:val="18"/>
          <w:szCs w:val="18"/>
        </w:rPr>
        <w:t xml:space="preserve">Constructed to prevent leakage of hazardous materials [substances] into the surrounding area</w:t>
      </w:r>
    </w:p>
    <w:p>
      <w:pPr>
        <w:pStyle w:val="ListParagraph"/>
        <w:numPr>
          <w:ilvl w:val="0"/>
          <w:numId w:val="3"/>
        </w:numPr>
        <w:spacing w:after="40" w:line="264"/>
      </w:pPr>
      <w:r>
        <w:rPr>
          <w:rFonts w:ascii="Tahoma" w:cs="Tahoma" w:eastAsia="Tahoma" w:hAnsi="Tahoma"/>
          <w:sz w:val="18"/>
          <w:szCs w:val="18"/>
        </w:rPr>
        <w:t xml:space="preserve">Continuously monitored [atmospheric / air sampling] to confirm hazardous dust and noise exposure levels do not exceed occupational exposure limits [OEL’s]</w:t>
      </w:r>
    </w:p>
    <w:p>
      <w:pPr>
        <w:pStyle w:val="ListParagraph"/>
        <w:numPr>
          <w:ilvl w:val="0"/>
          <w:numId w:val="2"/>
        </w:numPr>
        <w:spacing w:after="60" w:line="268"/>
        <w:jc w:val="both"/>
      </w:pPr>
      <w:r>
        <w:rPr>
          <w:rFonts w:ascii="Tahoma" w:cs="Tahoma" w:eastAsia="Tahoma" w:hAnsi="Tahoma"/>
          <w:sz w:val="20"/>
          <w:szCs w:val="20"/>
        </w:rPr>
        <w:t xml:space="preserve">Blasting and protective coating operation areas, plant, and equipment must be:</w:t>
      </w:r>
    </w:p>
    <w:p>
      <w:pPr>
        <w:pStyle w:val="ListParagraph"/>
        <w:numPr>
          <w:ilvl w:val="0"/>
          <w:numId w:val="3"/>
        </w:numPr>
        <w:spacing w:after="40" w:line="264"/>
      </w:pPr>
      <w:r>
        <w:rPr>
          <w:rFonts w:ascii="Tahoma" w:cs="Tahoma" w:eastAsia="Tahoma" w:hAnsi="Tahoma"/>
          <w:sz w:val="18"/>
          <w:szCs w:val="18"/>
        </w:rPr>
        <w:t xml:space="preserve">Maintained and cleaned on a regular basis</w:t>
      </w:r>
    </w:p>
    <w:p>
      <w:pPr>
        <w:pStyle w:val="ListParagraph"/>
        <w:numPr>
          <w:ilvl w:val="0"/>
          <w:numId w:val="3"/>
        </w:numPr>
        <w:spacing w:after="40" w:line="264"/>
      </w:pPr>
      <w:r>
        <w:rPr>
          <w:rFonts w:ascii="Tahoma" w:cs="Tahoma" w:eastAsia="Tahoma" w:hAnsi="Tahoma"/>
          <w:sz w:val="18"/>
          <w:szCs w:val="18"/>
        </w:rPr>
        <w:t xml:space="preserve">Periodically inspected by a competent person, and outcomes recorded</w:t>
      </w:r>
    </w:p>
    <w:p>
      <w:pPr>
        <w:pStyle w:val="Heading1"/>
      </w:pPr>
      <w:bookmarkStart w:id="9006" w:name="_DanToc9006"/>
      <w:r>
        <w:t xml:space="preserve">2. Protective Coating</w:t>
      </w:r>
      <w:bookmarkEnd w:id="9006"/>
    </w:p>
    <w:p>
      <w:pPr>
        <w:pStyle w:val="ListParagraph"/>
        <w:numPr>
          <w:ilvl w:val="0"/>
          <w:numId w:val="2"/>
        </w:numPr>
        <w:spacing w:after="60" w:line="268"/>
        <w:jc w:val="both"/>
      </w:pPr>
      <w:r>
        <w:rPr>
          <w:rFonts w:ascii="Tahoma" w:cs="Tahoma" w:eastAsia="Tahoma" w:hAnsi="Tahoma"/>
          <w:sz w:val="20"/>
          <w:szCs w:val="20"/>
        </w:rPr>
        <w:t xml:space="preserve">Spray painting shall not be performed within 23 m (75 ft) of ignition sources (e.g., welding, flame cutting, smoking areas, electrical generators). Conditions at the work site may justify greater clearances.</w:t>
      </w:r>
    </w:p>
    <w:p>
      <w:pPr>
        <w:pStyle w:val="ListParagraph"/>
        <w:numPr>
          <w:ilvl w:val="0"/>
          <w:numId w:val="2"/>
        </w:numPr>
        <w:spacing w:after="60" w:line="268"/>
        <w:jc w:val="both"/>
      </w:pPr>
      <w:r>
        <w:rPr>
          <w:rFonts w:ascii="Tahoma" w:cs="Tahoma" w:eastAsia="Tahoma" w:hAnsi="Tahoma"/>
          <w:sz w:val="20"/>
          <w:szCs w:val="20"/>
        </w:rPr>
        <w:t xml:space="preserve">Electrical lighting and power tools/equipment shall be explosion-proof (e.g., labeled as meeting UL 844) where solvent vapors are likely to be present (e.g., mixing coating materials or paints that contain flammable solvents).</w:t>
      </w:r>
    </w:p>
    <w:p>
      <w:pPr>
        <w:pStyle w:val="ListParagraph"/>
        <w:numPr>
          <w:ilvl w:val="0"/>
          <w:numId w:val="2"/>
        </w:numPr>
        <w:spacing w:after="60" w:line="268"/>
        <w:jc w:val="both"/>
      </w:pPr>
      <w:r>
        <w:rPr>
          <w:rFonts w:ascii="Tahoma" w:cs="Tahoma" w:eastAsia="Tahoma" w:hAnsi="Tahoma"/>
          <w:sz w:val="20"/>
          <w:szCs w:val="20"/>
        </w:rPr>
        <w:t xml:space="preserve">Electrical equipment (e.g., switches, panel boards, electrical motors, and associated equipment) shall be de-energized before spray painting is applied to the equipment.</w:t>
      </w:r>
    </w:p>
    <w:p>
      <w:pPr>
        <w:pStyle w:val="ListParagraph"/>
        <w:numPr>
          <w:ilvl w:val="0"/>
          <w:numId w:val="2"/>
        </w:numPr>
        <w:spacing w:after="60" w:line="268"/>
        <w:jc w:val="both"/>
      </w:pPr>
      <w:r>
        <w:rPr>
          <w:rFonts w:ascii="Tahoma" w:cs="Tahoma" w:eastAsia="Tahoma" w:hAnsi="Tahoma"/>
          <w:sz w:val="20"/>
          <w:szCs w:val="20"/>
        </w:rPr>
        <w:t xml:space="preserve">Solvents and solvent-based paints/coatings shall not be applied to surfaces hotter than 80 °C (176 °F).</w:t>
      </w:r>
    </w:p>
    <w:p>
      <w:pPr>
        <w:pStyle w:val="ListParagraph"/>
        <w:numPr>
          <w:ilvl w:val="0"/>
          <w:numId w:val="2"/>
        </w:numPr>
        <w:spacing w:after="60" w:line="268"/>
        <w:jc w:val="both"/>
      </w:pPr>
      <w:r>
        <w:rPr>
          <w:rFonts w:ascii="Tahoma" w:cs="Tahoma" w:eastAsia="Tahoma" w:hAnsi="Tahoma"/>
          <w:sz w:val="20"/>
          <w:szCs w:val="20"/>
        </w:rPr>
        <w:t xml:space="preserve">Outside storage areas shall be kept free of weeds, debris, and other combustible materials.</w:t>
      </w:r>
    </w:p>
    <w:p>
      <w:pPr>
        <w:pStyle w:val="ListParagraph"/>
        <w:numPr>
          <w:ilvl w:val="0"/>
          <w:numId w:val="2"/>
        </w:numPr>
        <w:spacing w:after="60" w:line="268"/>
        <w:jc w:val="both"/>
      </w:pPr>
      <w:r>
        <w:rPr>
          <w:rFonts w:ascii="Tahoma" w:cs="Tahoma" w:eastAsia="Tahoma" w:hAnsi="Tahoma"/>
          <w:sz w:val="20"/>
          <w:szCs w:val="20"/>
        </w:rPr>
        <w:t xml:space="preserve">Fire extinguishers shall be available in the work area and be protected from overspray.</w:t>
      </w:r>
    </w:p>
    <w:p>
      <w:pPr>
        <w:pStyle w:val="ListParagraph"/>
        <w:numPr>
          <w:ilvl w:val="0"/>
          <w:numId w:val="2"/>
        </w:numPr>
        <w:spacing w:after="60" w:line="268"/>
        <w:jc w:val="both"/>
      </w:pPr>
      <w:r>
        <w:rPr>
          <w:rFonts w:ascii="Tahoma" w:cs="Tahoma" w:eastAsia="Tahoma" w:hAnsi="Tahoma"/>
          <w:sz w:val="20"/>
          <w:szCs w:val="20"/>
        </w:rPr>
        <w:t xml:space="preserve">Work areas shall be cleaned after every shift, including the removal of discarded paints, coatings, and other materials. All paints, solvent cans, rags, etc., shall be disposed of in closed containers and/or lugger buckets specifically approved and designated for this purpose.</w:t>
      </w:r>
    </w:p>
    <w:p>
      <w:pPr>
        <w:pStyle w:val="ListParagraph"/>
        <w:numPr>
          <w:ilvl w:val="0"/>
          <w:numId w:val="2"/>
        </w:numPr>
        <w:spacing w:after="60" w:line="268"/>
        <w:jc w:val="both"/>
      </w:pPr>
      <w:r>
        <w:rPr>
          <w:rFonts w:ascii="Tahoma" w:cs="Tahoma" w:eastAsia="Tahoma" w:hAnsi="Tahoma"/>
          <w:sz w:val="20"/>
          <w:szCs w:val="20"/>
        </w:rPr>
        <w:t xml:space="preserve">Containers shall be labeled with the proper hazard communication (HAZCOM) label and the manufacturer’s Material safety data sheet (MSDS) shall be readily available on-site for all coatings, solvents, and cleaning fluids being used.</w:t>
      </w:r>
    </w:p>
    <w:p>
      <w:pPr>
        <w:pStyle w:val="ListParagraph"/>
        <w:numPr>
          <w:ilvl w:val="0"/>
          <w:numId w:val="2"/>
        </w:numPr>
        <w:spacing w:after="60" w:line="268"/>
        <w:jc w:val="both"/>
      </w:pPr>
      <w:r>
        <w:rPr>
          <w:rFonts w:ascii="Tahoma" w:cs="Tahoma" w:eastAsia="Tahoma" w:hAnsi="Tahoma"/>
          <w:sz w:val="20"/>
          <w:szCs w:val="20"/>
        </w:rPr>
        <w:t xml:space="preserve">Personnel performing spray painting or coating activities shall:</w:t>
      </w:r>
    </w:p>
    <w:p>
      <w:pPr>
        <w:pStyle w:val="ListParagraph"/>
        <w:numPr>
          <w:ilvl w:val="0"/>
          <w:numId w:val="2"/>
        </w:numPr>
        <w:spacing w:after="60" w:line="268"/>
        <w:jc w:val="both"/>
      </w:pPr>
      <w:r>
        <w:rPr>
          <w:rFonts w:ascii="Tahoma" w:cs="Tahoma" w:eastAsia="Tahoma" w:hAnsi="Tahoma"/>
          <w:sz w:val="20"/>
          <w:szCs w:val="20"/>
        </w:rPr>
        <w:t xml:space="preserve">Be trained on the associated hazards as detailed by the SDS for the products used.</w:t>
      </w:r>
    </w:p>
    <w:p>
      <w:pPr>
        <w:pStyle w:val="ListParagraph"/>
        <w:numPr>
          <w:ilvl w:val="0"/>
          <w:numId w:val="2"/>
        </w:numPr>
        <w:spacing w:after="60" w:line="268"/>
        <w:jc w:val="both"/>
      </w:pPr>
      <w:r>
        <w:rPr>
          <w:rFonts w:ascii="Tahoma" w:cs="Tahoma" w:eastAsia="Tahoma" w:hAnsi="Tahoma"/>
          <w:sz w:val="20"/>
          <w:szCs w:val="20"/>
        </w:rPr>
        <w:t xml:space="preserve">Close/seal containers of coatings and related materials when not in use.</w:t>
      </w:r>
    </w:p>
    <w:p>
      <w:pPr>
        <w:pStyle w:val="ListParagraph"/>
        <w:numPr>
          <w:ilvl w:val="0"/>
          <w:numId w:val="2"/>
        </w:numPr>
        <w:spacing w:after="60" w:line="268"/>
        <w:jc w:val="both"/>
      </w:pPr>
      <w:r>
        <w:rPr>
          <w:rFonts w:ascii="Tahoma" w:cs="Tahoma" w:eastAsia="Tahoma" w:hAnsi="Tahoma"/>
          <w:sz w:val="20"/>
          <w:szCs w:val="20"/>
        </w:rPr>
        <w:t xml:space="preserve">Be provided with and trained on the proper use of appropriate respiratory protection. Personnel applying spray paints/coatings shall wear organic vapor cartridge respirators or supplied air respirators depending upon the hazards of the paint/coating.</w:t>
      </w:r>
    </w:p>
    <w:p>
      <w:pPr>
        <w:pStyle w:val="ListParagraph"/>
        <w:numPr>
          <w:ilvl w:val="0"/>
          <w:numId w:val="2"/>
        </w:numPr>
        <w:spacing w:after="60" w:line="268"/>
        <w:jc w:val="both"/>
      </w:pPr>
      <w:r>
        <w:rPr>
          <w:rFonts w:ascii="Tahoma" w:cs="Tahoma" w:eastAsia="Tahoma" w:hAnsi="Tahoma"/>
          <w:sz w:val="20"/>
          <w:szCs w:val="20"/>
        </w:rPr>
        <w:t xml:space="preserve">Wear other personnel protective equipment (PPE) required for the work being performed.</w:t>
      </w:r>
    </w:p>
    <w:p>
      <w:pPr>
        <w:pStyle w:val="ListParagraph"/>
        <w:numPr>
          <w:ilvl w:val="0"/>
          <w:numId w:val="2"/>
        </w:numPr>
        <w:spacing w:after="60" w:line="268"/>
        <w:jc w:val="both"/>
      </w:pPr>
      <w:r>
        <w:rPr>
          <w:rFonts w:ascii="Tahoma" w:cs="Tahoma" w:eastAsia="Tahoma" w:hAnsi="Tahoma"/>
          <w:sz w:val="20"/>
          <w:szCs w:val="20"/>
        </w:rPr>
        <w:t xml:space="preserve">Inspect PPE prior to use and immediately report any defects/damage.</w:t>
      </w:r>
    </w:p>
    <w:p>
      <w:pPr>
        <w:pStyle w:val="ListParagraph"/>
        <w:numPr>
          <w:ilvl w:val="0"/>
          <w:numId w:val="2"/>
        </w:numPr>
        <w:spacing w:after="60" w:line="268"/>
        <w:jc w:val="both"/>
      </w:pPr>
      <w:r>
        <w:rPr>
          <w:rFonts w:ascii="Tahoma" w:cs="Tahoma" w:eastAsia="Tahoma" w:hAnsi="Tahoma"/>
          <w:sz w:val="20"/>
          <w:szCs w:val="20"/>
        </w:rPr>
        <w:t xml:space="preserve">Adequately ventilate painting/coating areas. Use ventilation controls and/or organic vapor respirators when working with paint removers/strippers containing toxic solvents.</w:t>
      </w:r>
    </w:p>
    <w:p>
      <w:pPr>
        <w:pStyle w:val="ListParagraph"/>
        <w:numPr>
          <w:ilvl w:val="0"/>
          <w:numId w:val="2"/>
        </w:numPr>
        <w:spacing w:after="60" w:line="268"/>
        <w:jc w:val="both"/>
      </w:pPr>
      <w:r>
        <w:rPr>
          <w:rFonts w:ascii="Tahoma" w:cs="Tahoma" w:eastAsia="Tahoma" w:hAnsi="Tahoma"/>
          <w:sz w:val="20"/>
          <w:szCs w:val="20"/>
        </w:rPr>
        <w:t xml:space="preserve">Dispose of coating residue in accordance with the contractors’ approved waste management plan.</w:t>
      </w:r>
    </w:p>
    <w:p>
      <w:pPr>
        <w:pStyle w:val="ListParagraph"/>
        <w:numPr>
          <w:ilvl w:val="0"/>
          <w:numId w:val="2"/>
        </w:numPr>
        <w:spacing w:after="60" w:line="268"/>
        <w:jc w:val="both"/>
      </w:pPr>
      <w:r>
        <w:rPr>
          <w:rFonts w:ascii="Tahoma" w:cs="Tahoma" w:eastAsia="Tahoma" w:hAnsi="Tahoma"/>
          <w:sz w:val="20"/>
          <w:szCs w:val="20"/>
        </w:rPr>
        <w:t xml:space="preserve">Wash thoroughly before eating and at the end of each shift.</w:t>
      </w:r>
    </w:p>
    <w:p>
      <w:pPr>
        <w:pStyle w:val="ListParagraph"/>
        <w:numPr>
          <w:ilvl w:val="0"/>
          <w:numId w:val="2"/>
        </w:numPr>
        <w:spacing w:after="60" w:line="268"/>
        <w:jc w:val="both"/>
      </w:pPr>
      <w:r>
        <w:rPr>
          <w:rFonts w:ascii="Tahoma" w:cs="Tahoma" w:eastAsia="Tahoma" w:hAnsi="Tahoma"/>
          <w:sz w:val="20"/>
          <w:szCs w:val="20"/>
        </w:rPr>
        <w:t xml:space="preserve">Immediately remove clothing that becomes contaminated with solvents to prevent chemical burns. Contaminated clothing shall be discarded in closed containers or cleaned as soon as possible since solvents will continue to vaporize and can present a spontaneous combustion fire hazard. Records and evidence</w:t>
      </w:r>
    </w:p>
    <w:p>
      <w:pPr>
        <w:pStyle w:val="ListParagraph"/>
        <w:numPr>
          <w:ilvl w:val="0"/>
          <w:numId w:val="2"/>
        </w:numPr>
        <w:spacing w:after="60" w:line="268"/>
        <w:jc w:val="both"/>
      </w:pPr>
      <w:r>
        <w:rPr>
          <w:rFonts w:ascii="Tahoma" w:cs="Tahoma" w:eastAsia="Tahoma" w:hAnsi="Tahoma"/>
          <w:sz w:val="20"/>
          <w:szCs w:val="20"/>
        </w:rPr>
        <w:t xml:space="preserve">Method statement /risk assessment</w:t>
      </w:r>
    </w:p>
    <w:p>
      <w:pPr>
        <w:pStyle w:val="ListParagraph"/>
        <w:numPr>
          <w:ilvl w:val="0"/>
          <w:numId w:val="2"/>
        </w:numPr>
        <w:spacing w:after="60" w:line="268"/>
        <w:jc w:val="both"/>
      </w:pPr>
      <w:r>
        <w:rPr>
          <w:rFonts w:ascii="Tahoma" w:cs="Tahoma" w:eastAsia="Tahoma" w:hAnsi="Tahoma"/>
          <w:sz w:val="20"/>
          <w:szCs w:val="20"/>
        </w:rPr>
        <w:t xml:space="preserve">Inspection records</w:t>
      </w:r>
    </w:p>
    <w:p>
      <w:pPr>
        <w:pStyle w:val="ListParagraph"/>
        <w:numPr>
          <w:ilvl w:val="0"/>
          <w:numId w:val="2"/>
        </w:numPr>
        <w:spacing w:after="60" w:line="268"/>
        <w:jc w:val="both"/>
      </w:pPr>
      <w:r>
        <w:rPr>
          <w:rFonts w:ascii="Tahoma" w:cs="Tahoma" w:eastAsia="Tahoma" w:hAnsi="Tahoma"/>
          <w:sz w:val="20"/>
          <w:szCs w:val="20"/>
        </w:rPr>
        <w:t xml:space="preserve">Environmental [air / noise] sampling records</w:t>
      </w:r>
    </w:p>
    <w:p>
      <w:pPr>
        <w:pStyle w:val="ListParagraph"/>
        <w:numPr>
          <w:ilvl w:val="0"/>
          <w:numId w:val="2"/>
        </w:numPr>
        <w:spacing w:after="60" w:line="268"/>
        <w:jc w:val="both"/>
      </w:pPr>
      <w:r>
        <w:rPr>
          <w:rFonts w:ascii="Tahoma" w:cs="Tahoma" w:eastAsia="Tahoma" w:hAnsi="Tahoma"/>
          <w:sz w:val="20"/>
          <w:szCs w:val="20"/>
        </w:rPr>
        <w:t xml:space="preserve">Pre-work briefings / tbts</w:t>
      </w:r>
    </w:p>
    <w:p>
      <w:pPr>
        <w:pStyle w:val="Heading1"/>
      </w:pPr>
      <w:bookmarkStart w:id="9007" w:name="_DanToc9007"/>
      <w:r>
        <w:t xml:space="preserve">Revision History</w:t>
      </w:r>
      <w:bookmarkEnd w:id="900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 Minimum Requirement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01-000001-000000-DAN-HSE-MNR-000005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Blasting and Protective Coating</dc:title>
  <dc:creator>DAN HSSE Management System</dc:creator>
  <cp:lastModifiedBy>Un-named</cp:lastModifiedBy>
  <cp:revision>1</cp:revision>
  <dcterms:created xsi:type="dcterms:W3CDTF">2026-09-01T08:18:15.103Z</dcterms:created>
  <dcterms:modified xsi:type="dcterms:W3CDTF">2026-09-01T08:18:15.103Z</dcterms:modified>
</cp:coreProperties>
</file>

<file path=docProps/custom.xml><?xml version="1.0" encoding="utf-8"?>
<Properties xmlns="http://schemas.openxmlformats.org/officeDocument/2006/custom-properties" xmlns:vt="http://schemas.openxmlformats.org/officeDocument/2006/docPropsVTypes"/>
</file>