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pPr>
      <w:r>
        <w:drawing>
          <wp:inline distT="0" distB="0" distL="0" distR="0">
            <wp:extent cx="1428750" cy="1104900"/>
            <wp:effectExtent t="0" r="0" b="0" l="0"/>
            <wp:docPr id="1" name="DAN" descr="DAN Company logo" title="D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428750" cy="1104900"/>
                    </a:xfrm>
                    <a:prstGeom prst="rect">
                      <a:avLst/>
                    </a:prstGeom>
                  </pic:spPr>
                </pic:pic>
              </a:graphicData>
            </a:graphic>
          </wp:inline>
        </w:drawing>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shd w:fill="19648B" w:color="auto" w:val="clear"/>
          </w:tcPr>
          <w:p>
            <w:pPr>
              <w:spacing w:after="0" w:before="0"/>
            </w:pPr>
            <w:r>
              <w:rPr>
                <w:sz w:val="8"/>
                <w:szCs w:val="8"/>
              </w:rPr>
              <w:t xml:space="preserve"> </w:t>
            </w:r>
          </w:p>
        </w:tc>
        <w:tc>
          <w:tcPr>
            <w:tcW w:type="dxa" w:w="2340"/>
            <w:tcBorders>
              <w:top w:val="none" w:color="FFFFFF" w:sz="0"/>
              <w:left w:val="none" w:color="FFFFFF" w:sz="0"/>
              <w:bottom w:val="none" w:color="FFFFFF" w:sz="0"/>
              <w:right w:val="none" w:color="FFFFFF" w:sz="0"/>
            </w:tcBorders>
            <w:shd w:fill="119D88" w:color="auto" w:val="clear"/>
          </w:tcPr>
          <w:p>
            <w:pPr>
              <w:spacing w:after="0" w:before="0"/>
            </w:pPr>
            <w:r>
              <w:rPr>
                <w:sz w:val="8"/>
                <w:szCs w:val="8"/>
              </w:rPr>
              <w:t xml:space="preserve"> </w:t>
            </w:r>
          </w:p>
        </w:tc>
        <w:tc>
          <w:tcPr>
            <w:tcW w:type="dxa" w:w="2340"/>
            <w:tcBorders>
              <w:top w:val="none" w:color="FFFFFF" w:sz="0"/>
              <w:left w:val="none" w:color="FFFFFF" w:sz="0"/>
              <w:bottom w:val="none" w:color="FFFFFF" w:sz="0"/>
              <w:right w:val="none" w:color="FFFFFF" w:sz="0"/>
            </w:tcBorders>
            <w:shd w:fill="E68233" w:color="auto" w:val="clear"/>
          </w:tcPr>
          <w:p>
            <w:pPr>
              <w:spacing w:after="0" w:before="0"/>
            </w:pPr>
            <w:r>
              <w:rPr>
                <w:sz w:val="8"/>
                <w:szCs w:val="8"/>
              </w:rPr>
              <w:t xml:space="preserve"> </w:t>
            </w:r>
          </w:p>
        </w:tc>
        <w:tc>
          <w:tcPr>
            <w:tcW w:type="dxa" w:w="2340"/>
            <w:tcBorders>
              <w:top w:val="none" w:color="FFFFFF" w:sz="0"/>
              <w:left w:val="none" w:color="FFFFFF" w:sz="0"/>
              <w:bottom w:val="none" w:color="FFFFFF" w:sz="0"/>
              <w:right w:val="none" w:color="FFFFFF" w:sz="0"/>
            </w:tcBorders>
            <w:shd w:fill="B33533" w:color="auto" w:val="clear"/>
          </w:tcPr>
          <w:p>
            <w:pPr>
              <w:spacing w:after="0" w:before="0"/>
            </w:pPr>
            <w:r>
              <w:rPr>
                <w:sz w:val="8"/>
                <w:szCs w:val="8"/>
              </w:rPr>
              <w:t xml:space="preserve"> </w:t>
            </w:r>
          </w:p>
        </w:tc>
      </w:tr>
    </w:tbl>
    <w:p>
      <w:pPr>
        <w:spacing w:after="0" w:before="480"/>
      </w:pPr>
      <w:r>
        <w:rPr>
          <w:rFonts w:ascii="Tahoma" w:cs="Tahoma" w:eastAsia="Tahoma" w:hAnsi="Tahoma"/>
          <w:b/>
          <w:bCs/>
          <w:color w:val="595959"/>
          <w:spacing w:val="30"/>
          <w:sz w:val="20"/>
          <w:szCs w:val="20"/>
        </w:rPr>
        <w:t xml:space="preserve">HEALTH, SAFETY &amp; ENVIRONMENT MANAGEMENT SYSTEM</w:t>
      </w:r>
    </w:p>
    <w:p>
      <w:pPr>
        <w:spacing w:after="0" w:before="40"/>
      </w:pPr>
      <w:r>
        <w:rPr>
          <w:rFonts w:ascii="Tahoma" w:cs="Tahoma" w:eastAsia="Tahoma" w:hAnsi="Tahoma"/>
          <w:color w:val="595959"/>
          <w:sz w:val="18"/>
          <w:szCs w:val="18"/>
        </w:rPr>
        <w:t xml:space="preserve">DAN HSE Minimum Requirements</w:t>
      </w:r>
    </w:p>
    <w:p>
      <w:pPr>
        <w:spacing w:after="0" w:before="720"/>
      </w:pPr>
      <w:r>
        <w:rPr>
          <w:rFonts w:ascii="Tahoma" w:cs="Tahoma" w:eastAsia="Tahoma" w:hAnsi="Tahoma"/>
          <w:b/>
          <w:bCs/>
          <w:color w:val="542A12"/>
          <w:sz w:val="44"/>
          <w:szCs w:val="44"/>
        </w:rPr>
        <w:t xml:space="preserve">Lock Out / Tag Out</w:t>
      </w:r>
    </w:p>
    <w:p>
      <w:pPr>
        <w:pBdr>
          <w:top w:val="single" w:color="E68233" w:sz="12" w:space="8"/>
        </w:pBdr>
        <w:spacing w:after="0" w:before="200"/>
      </w:pPr>
      <w:r>
        <w:rPr>
          <w:rFonts w:ascii="Tahoma" w:cs="Tahoma" w:eastAsia="Tahoma" w:hAnsi="Tahoma"/>
          <w:sz w:val="8"/>
          <w:szCs w:val="8"/>
        </w:rPr>
        <w:t xml:space="preserve"/>
      </w:r>
    </w:p>
    <w:p>
      <w:pPr>
        <w:spacing w:after="120" w:before="480"/>
      </w:pPr>
      <w:r>
        <w:rPr>
          <w:rFonts w:ascii="Tahoma" w:cs="Tahoma" w:eastAsia="Tahoma" w:hAnsi="Tahoma"/>
          <w:b/>
          <w:bCs/>
          <w:color w:val="542A12"/>
          <w:sz w:val="22"/>
          <w:szCs w:val="22"/>
        </w:rPr>
        <w:t xml:space="preserve">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Document No.</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01-000001-000000-DAN-HSE-MNR-000010</w:t>
            </w:r>
          </w:p>
        </w:tc>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Revision</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R01</w:t>
            </w:r>
          </w:p>
        </w:tc>
      </w:tr>
      <w:tr>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Issue Date</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June 2026</w:t>
            </w:r>
          </w:p>
        </w:tc>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Classification</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Controlled — Internal</w:t>
            </w:r>
          </w:p>
        </w:tc>
      </w:tr>
      <w:tr>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Document Owner</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HSSE Department</w:t>
            </w:r>
          </w:p>
        </w:tc>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Page Format</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US Letter</w:t>
            </w:r>
          </w:p>
        </w:tc>
      </w:tr>
    </w:tbl>
    <w:p>
      <w:r>
        <w:br w:type="page"/>
      </w:r>
    </w:p>
    <w:p>
      <w:pPr>
        <w:sectPr>
          <w:pgSz w:w="12240" w:h="15840" w:orient="portrait"/>
          <w:pgMar w:top="1440" w:right="1440" w:bottom="1440" w:left="1440" w:header="708" w:footer="708" w:gutter="0"/>
          <w:pgNumType/>
          <w:docGrid w:linePitch="360"/>
        </w:sectPr>
      </w:pPr>
    </w:p>
    <w:p>
      <w:pPr>
        <w:spacing w:after="160"/>
      </w:pPr>
      <w:r>
        <w:rPr>
          <w:rFonts w:ascii="Tahoma" w:cs="Tahoma" w:eastAsia="Tahoma" w:hAnsi="Tahoma"/>
          <w:b/>
          <w:bCs/>
          <w:color w:val="542A12"/>
          <w:sz w:val="28"/>
          <w:szCs w:val="28"/>
        </w:rPr>
        <w:t xml:space="preserve">Table of Contents</w:t>
      </w:r>
    </w:p>
    <w:sdt>
      <w:sdtPr>
        <w:alias w:val="Table of Contents"/>
      </w:sdtPr>
      <w:sdtContent>
        <w:p>
          <w:r>
            <w:fldChar w:fldCharType="begin" w:dirty="true"/>
            <w:instrText xml:space="preserve">TOC \h \o "1-2"</w:instrText>
            <w:fldChar w:fldCharType="separate"/>
          </w:r>
        </w:p>
        <w:p>
          <w:pPr>
            <w:spacing w:after="40" w:line="259"/>
            <w:ind w:left="0"/>
          </w:pPr>
          <w:hyperlink w:anchor="_DanToc9000" w:history="1">
            <w:r>
              <w:rPr>
                <w:rFonts w:ascii="Tahoma" w:hAnsi="Tahoma" w:cs="Tahoma"/>
                <w:b/>
                <w:color w:val="542A12"/>
                <w:sz w:val="20"/>
              </w:rPr>
              <w:t xml:space="preserve">Purpose</w:t>
            </w:r>
          </w:hyperlink>
        </w:p>
        <w:p>
          <w:pPr>
            <w:spacing w:after="40" w:line="259"/>
            <w:ind w:left="0"/>
          </w:pPr>
          <w:hyperlink w:anchor="_DanToc9001" w:history="1">
            <w:r>
              <w:rPr>
                <w:rFonts w:ascii="Tahoma" w:hAnsi="Tahoma" w:cs="Tahoma"/>
                <w:b/>
                <w:color w:val="542A12"/>
                <w:sz w:val="20"/>
              </w:rPr>
              <w:t xml:space="preserve">Scope</w:t>
            </w:r>
          </w:hyperlink>
        </w:p>
        <w:p>
          <w:pPr>
            <w:spacing w:after="40" w:line="259"/>
            <w:ind w:left="0"/>
          </w:pPr>
          <w:hyperlink w:anchor="_DanToc9002" w:history="1">
            <w:r>
              <w:rPr>
                <w:rFonts w:ascii="Tahoma" w:hAnsi="Tahoma" w:cs="Tahoma"/>
                <w:b/>
                <w:color w:val="542A12"/>
                <w:sz w:val="20"/>
              </w:rPr>
              <w:t xml:space="preserve">Definitions</w:t>
            </w:r>
          </w:hyperlink>
        </w:p>
        <w:p>
          <w:pPr>
            <w:spacing w:after="40" w:line="259"/>
            <w:ind w:left="0"/>
          </w:pPr>
          <w:hyperlink w:anchor="_DanToc9003" w:history="1">
            <w:r>
              <w:rPr>
                <w:rFonts w:ascii="Tahoma" w:hAnsi="Tahoma" w:cs="Tahoma"/>
                <w:b/>
                <w:color w:val="542A12"/>
                <w:sz w:val="20"/>
              </w:rPr>
              <w:t xml:space="preserve">Standards</w:t>
            </w:r>
          </w:hyperlink>
        </w:p>
        <w:p>
          <w:pPr>
            <w:spacing w:after="40" w:line="259"/>
            <w:ind w:left="0"/>
          </w:pPr>
          <w:hyperlink w:anchor="_DanToc9004" w:history="1">
            <w:r>
              <w:rPr>
                <w:rFonts w:ascii="Tahoma" w:hAnsi="Tahoma" w:cs="Tahoma"/>
                <w:b/>
                <w:color w:val="542A12"/>
                <w:sz w:val="20"/>
              </w:rPr>
              <w:t xml:space="preserve">Tools and References</w:t>
            </w:r>
          </w:hyperlink>
        </w:p>
        <w:p>
          <w:pPr>
            <w:spacing w:after="40" w:line="259"/>
            <w:ind w:left="0"/>
          </w:pPr>
          <w:hyperlink w:anchor="_DanToc9005" w:history="1">
            <w:r>
              <w:rPr>
                <w:rFonts w:ascii="Tahoma" w:hAnsi="Tahoma" w:cs="Tahoma"/>
                <w:b/>
                <w:color w:val="542A12"/>
                <w:sz w:val="20"/>
              </w:rPr>
              <w:t xml:space="preserve">1. General Requirements</w:t>
            </w:r>
          </w:hyperlink>
        </w:p>
        <w:p>
          <w:pPr>
            <w:spacing w:after="40" w:line="259"/>
            <w:ind w:left="0"/>
          </w:pPr>
          <w:hyperlink w:anchor="_DanToc9006" w:history="1">
            <w:r>
              <w:rPr>
                <w:rFonts w:ascii="Tahoma" w:hAnsi="Tahoma" w:cs="Tahoma"/>
                <w:b/>
                <w:color w:val="542A12"/>
                <w:sz w:val="20"/>
              </w:rPr>
              <w:t xml:space="preserve">2. Planning</w:t>
            </w:r>
          </w:hyperlink>
        </w:p>
        <w:p>
          <w:pPr>
            <w:spacing w:after="40" w:line="259"/>
            <w:ind w:left="0"/>
          </w:pPr>
          <w:hyperlink w:anchor="_DanToc9007" w:history="1">
            <w:r>
              <w:rPr>
                <w:rFonts w:ascii="Tahoma" w:hAnsi="Tahoma" w:cs="Tahoma"/>
                <w:b/>
                <w:color w:val="542A12"/>
                <w:sz w:val="20"/>
              </w:rPr>
              <w:t xml:space="preserve">3. Training</w:t>
            </w:r>
          </w:hyperlink>
        </w:p>
        <w:p>
          <w:pPr>
            <w:spacing w:after="40" w:line="259"/>
            <w:ind w:left="0"/>
          </w:pPr>
          <w:hyperlink w:anchor="_DanToc9008" w:history="1">
            <w:r>
              <w:rPr>
                <w:rFonts w:ascii="Tahoma" w:hAnsi="Tahoma" w:cs="Tahoma"/>
                <w:b/>
                <w:color w:val="542A12"/>
                <w:sz w:val="20"/>
              </w:rPr>
              <w:t xml:space="preserve">Revision History</w:t>
            </w:r>
          </w:hyperlink>
        </w:p>
        <w:p>
          <w:r>
            <w:fldChar w:fldCharType="end"/>
          </w:r>
        </w:p>
      </w:sdtContent>
    </w:sdt>
    <w:p>
      <w:r>
        <w:br w:type="page"/>
      </w:r>
    </w:p>
    <w:p>
      <w:pPr>
        <w:pStyle w:val="Heading1"/>
      </w:pPr>
      <w:bookmarkStart w:id="9000" w:name="_DanToc9000"/>
      <w:r>
        <w:t xml:space="preserve">Purpose</w:t>
      </w:r>
      <w:bookmarkEnd w:id="9000"/>
    </w:p>
    <w:p>
      <w:pPr>
        <w:spacing w:after="120" w:line="276"/>
        <w:jc w:val="both"/>
      </w:pPr>
      <w:r>
        <w:rPr>
          <w:rFonts w:ascii="Tahoma" w:cs="Tahoma" w:eastAsia="Tahoma" w:hAnsi="Tahoma"/>
          <w:sz w:val="20"/>
          <w:szCs w:val="20"/>
        </w:rPr>
        <w:t xml:space="preserve">The purpose of the Lock Out/Tag Out HSE Requirement is to protect employees from machines and equipment capable of causing injury due to unexpected energization, the release of stored energy or the start-up of equipment while an employee is performing maintenance or servicing equipment.</w:t>
      </w:r>
    </w:p>
    <w:p>
      <w:pPr>
        <w:pStyle w:val="Heading1"/>
      </w:pPr>
      <w:bookmarkStart w:id="9001" w:name="_DanToc9001"/>
      <w:r>
        <w:t xml:space="preserve">Scope</w:t>
      </w:r>
      <w:bookmarkEnd w:id="9001"/>
    </w:p>
    <w:p>
      <w:pPr>
        <w:spacing w:after="120" w:line="276"/>
        <w:jc w:val="both"/>
      </w:pPr>
      <w:r>
        <w:rPr>
          <w:rFonts w:ascii="Tahoma" w:cs="Tahoma" w:eastAsia="Tahoma" w:hAnsi="Tahoma"/>
          <w:sz w:val="20"/>
          <w:szCs w:val="20"/>
        </w:rPr>
        <w:t xml:space="preserve">This HSE Minimum Requirement applies to all parties’ personnel who are working within the DAN Company Project, site offices, or DAN-controlled work areas.</w:t>
      </w:r>
    </w:p>
    <w:p>
      <w:pPr>
        <w:pStyle w:val="Heading1"/>
      </w:pPr>
      <w:bookmarkStart w:id="9002" w:name="_DanToc9002"/>
      <w:r>
        <w:t xml:space="preserve">Definitions</w:t>
      </w:r>
      <w:bookmarkEnd w:id="9002"/>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tblHeader/>
        </w:trPr>
        <w:tc>
          <w:tcPr>
            <w:tcW w:type="dxa" w:w="19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Term</w:t>
            </w:r>
          </w:p>
        </w:tc>
        <w:tc>
          <w:tcPr>
            <w:tcW w:type="dxa" w:w="746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Definition</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LOTO</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The placement of a lockout/Tagout device on an energy isolating device, to indicate and ensure that the energy isolating device and the equipment being controlled cannot be operated until the lockout /Tagout device is removed</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Energy Control Device</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A device that uses a positive means such as a lock and tag, to hold an energy isolation device in a safe position and prevent the energizing of a machine or equipment.</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Energized</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Connected to an energy source or containing residual or stored energy.</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Energy Source</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Any source of electrical, mechanical, hydraulic, pneumatic, chemical, thermal, or other energy.</w:t>
            </w:r>
          </w:p>
        </w:tc>
      </w:tr>
    </w:tbl>
    <w:p>
      <w:pPr>
        <w:pStyle w:val="Heading1"/>
      </w:pPr>
      <w:bookmarkStart w:id="9003" w:name="_DanToc9003"/>
      <w:r>
        <w:t xml:space="preserve">Standards</w:t>
      </w:r>
      <w:bookmarkEnd w:id="9003"/>
    </w:p>
    <w:p>
      <w:pPr>
        <w:pStyle w:val="ListParagraph"/>
        <w:numPr>
          <w:ilvl w:val="0"/>
          <w:numId w:val="2"/>
        </w:numPr>
        <w:spacing w:after="60" w:line="268"/>
        <w:jc w:val="both"/>
      </w:pPr>
      <w:r>
        <w:rPr>
          <w:rFonts w:ascii="Tahoma" w:cs="Tahoma" w:eastAsia="Tahoma" w:hAnsi="Tahoma"/>
          <w:sz w:val="20"/>
          <w:szCs w:val="20"/>
        </w:rPr>
        <w:t xml:space="preserve">DAN Construction HSE Management System Manual (01-000001-000000-DAN-HSE-MAN-000001) and management procedures</w:t>
      </w:r>
    </w:p>
    <w:p>
      <w:pPr>
        <w:pStyle w:val="ListParagraph"/>
        <w:numPr>
          <w:ilvl w:val="0"/>
          <w:numId w:val="2"/>
        </w:numPr>
        <w:spacing w:after="60" w:line="268"/>
        <w:jc w:val="both"/>
      </w:pPr>
      <w:r>
        <w:rPr>
          <w:rFonts w:ascii="Tahoma" w:cs="Tahoma" w:eastAsia="Tahoma" w:hAnsi="Tahoma"/>
          <w:sz w:val="20"/>
          <w:szCs w:val="20"/>
        </w:rPr>
        <w:t xml:space="preserve">Saudi Labour Law – Royal Decree No. M/51, 23 Sha’ban 1426 / 27 September 2005</w:t>
      </w:r>
    </w:p>
    <w:p>
      <w:pPr>
        <w:pStyle w:val="Heading1"/>
      </w:pPr>
      <w:bookmarkStart w:id="9004" w:name="_DanToc9004"/>
      <w:r>
        <w:t xml:space="preserve">Tools and References</w:t>
      </w:r>
      <w:bookmarkEnd w:id="9004"/>
    </w:p>
    <w:p>
      <w:pPr>
        <w:pStyle w:val="ListParagraph"/>
        <w:numPr>
          <w:ilvl w:val="0"/>
          <w:numId w:val="2"/>
        </w:numPr>
        <w:spacing w:after="60" w:line="268"/>
        <w:jc w:val="both"/>
      </w:pPr>
      <w:r>
        <w:rPr>
          <w:rFonts w:ascii="Tahoma" w:cs="Tahoma" w:eastAsia="Tahoma" w:hAnsi="Tahoma"/>
          <w:sz w:val="20"/>
          <w:szCs w:val="20"/>
        </w:rPr>
        <w:t xml:space="preserve">LOTO Training Record &amp; Register</w:t>
      </w:r>
    </w:p>
    <w:p>
      <w:pPr>
        <w:pStyle w:val="ListParagraph"/>
        <w:numPr>
          <w:ilvl w:val="0"/>
          <w:numId w:val="2"/>
        </w:numPr>
        <w:spacing w:after="60" w:line="268"/>
        <w:jc w:val="both"/>
      </w:pPr>
      <w:r>
        <w:rPr>
          <w:rFonts w:ascii="Tahoma" w:cs="Tahoma" w:eastAsia="Tahoma" w:hAnsi="Tahoma"/>
          <w:sz w:val="20"/>
          <w:szCs w:val="20"/>
        </w:rPr>
        <w:t xml:space="preserve">LOTO Inspection Record &amp; LOTO Register</w:t>
      </w:r>
    </w:p>
    <w:p>
      <w:pPr>
        <w:pStyle w:val="ListParagraph"/>
        <w:numPr>
          <w:ilvl w:val="0"/>
          <w:numId w:val="2"/>
        </w:numPr>
        <w:spacing w:after="60" w:line="268"/>
        <w:jc w:val="both"/>
      </w:pPr>
      <w:r>
        <w:rPr>
          <w:rFonts w:ascii="Tahoma" w:cs="Tahoma" w:eastAsia="Tahoma" w:hAnsi="Tahoma"/>
          <w:sz w:val="20"/>
          <w:szCs w:val="20"/>
        </w:rPr>
        <w:t xml:space="preserve">OSHA regulations 1910.147 LOTO</w:t>
      </w:r>
    </w:p>
    <w:p>
      <w:pPr>
        <w:pStyle w:val="Heading1"/>
      </w:pPr>
      <w:bookmarkStart w:id="9005" w:name="_DanToc9005"/>
      <w:r>
        <w:t xml:space="preserve">1. General Requirements</w:t>
      </w:r>
      <w:bookmarkEnd w:id="9005"/>
    </w:p>
    <w:p>
      <w:pPr>
        <w:pStyle w:val="ListParagraph"/>
        <w:numPr>
          <w:ilvl w:val="0"/>
          <w:numId w:val="2"/>
        </w:numPr>
        <w:spacing w:after="60" w:line="268"/>
        <w:jc w:val="both"/>
      </w:pPr>
      <w:r>
        <w:rPr>
          <w:rFonts w:ascii="Tahoma" w:cs="Tahoma" w:eastAsia="Tahoma" w:hAnsi="Tahoma"/>
          <w:sz w:val="20"/>
          <w:szCs w:val="20"/>
        </w:rPr>
        <w:t xml:space="preserve">Contractor shall ensure that specific isolation, lock, and hold tag procedures are in place to protect personnel when such activities are performed.</w:t>
      </w:r>
    </w:p>
    <w:p>
      <w:pPr>
        <w:pStyle w:val="ListParagraph"/>
        <w:numPr>
          <w:ilvl w:val="0"/>
          <w:numId w:val="2"/>
        </w:numPr>
        <w:spacing w:after="60" w:line="268"/>
        <w:jc w:val="both"/>
      </w:pPr>
      <w:r>
        <w:rPr>
          <w:rFonts w:ascii="Tahoma" w:cs="Tahoma" w:eastAsia="Tahoma" w:hAnsi="Tahoma"/>
          <w:sz w:val="20"/>
          <w:szCs w:val="20"/>
        </w:rPr>
        <w:t xml:space="preserve">Specific competency-based training will be provided to all employees who place or removes a lock-out and/or tag-out device, e.g., Engineers / Supervisors&amp; Maintenance / Inspection workers</w:t>
      </w:r>
    </w:p>
    <w:p>
      <w:pPr>
        <w:pStyle w:val="ListParagraph"/>
        <w:numPr>
          <w:ilvl w:val="0"/>
          <w:numId w:val="2"/>
        </w:numPr>
        <w:spacing w:after="60" w:line="268"/>
        <w:jc w:val="both"/>
      </w:pPr>
      <w:r>
        <w:rPr>
          <w:rFonts w:ascii="Tahoma" w:cs="Tahoma" w:eastAsia="Tahoma" w:hAnsi="Tahoma"/>
          <w:sz w:val="20"/>
          <w:szCs w:val="20"/>
        </w:rPr>
        <w:t xml:space="preserve">Awareness briefings must be provided to all those who may be impacted by lock-out / tag-out activities</w:t>
      </w:r>
    </w:p>
    <w:p>
      <w:pPr>
        <w:pStyle w:val="ListParagraph"/>
        <w:numPr>
          <w:ilvl w:val="0"/>
          <w:numId w:val="2"/>
        </w:numPr>
        <w:spacing w:after="60" w:line="268"/>
        <w:jc w:val="both"/>
      </w:pPr>
      <w:r>
        <w:rPr>
          <w:rFonts w:ascii="Tahoma" w:cs="Tahoma" w:eastAsia="Tahoma" w:hAnsi="Tahoma"/>
          <w:sz w:val="20"/>
          <w:szCs w:val="20"/>
        </w:rPr>
        <w:t xml:space="preserve">Any plant, equipment, or machine that can produce energy:</w:t>
      </w:r>
    </w:p>
    <w:p>
      <w:pPr>
        <w:pStyle w:val="ListParagraph"/>
        <w:numPr>
          <w:ilvl w:val="0"/>
          <w:numId w:val="3"/>
        </w:numPr>
        <w:spacing w:after="40" w:line="264"/>
      </w:pPr>
      <w:r>
        <w:rPr>
          <w:rFonts w:ascii="Tahoma" w:cs="Tahoma" w:eastAsia="Tahoma" w:hAnsi="Tahoma"/>
          <w:sz w:val="18"/>
          <w:szCs w:val="18"/>
        </w:rPr>
        <w:t xml:space="preserve">Must be capable of being physically locked-out</w:t>
      </w:r>
    </w:p>
    <w:p>
      <w:pPr>
        <w:pStyle w:val="ListParagraph"/>
        <w:numPr>
          <w:ilvl w:val="0"/>
          <w:numId w:val="3"/>
        </w:numPr>
        <w:spacing w:after="40" w:line="264"/>
      </w:pPr>
      <w:r>
        <w:rPr>
          <w:rFonts w:ascii="Tahoma" w:cs="Tahoma" w:eastAsia="Tahoma" w:hAnsi="Tahoma"/>
          <w:sz w:val="18"/>
          <w:szCs w:val="18"/>
        </w:rPr>
        <w:t xml:space="preserve">Use switches/valves that allow a controlled device i.e., lock, to be securely attached/interlocked</w:t>
      </w:r>
    </w:p>
    <w:p>
      <w:pPr>
        <w:pStyle w:val="ListParagraph"/>
        <w:numPr>
          <w:ilvl w:val="0"/>
          <w:numId w:val="3"/>
        </w:numPr>
        <w:spacing w:after="40" w:line="264"/>
      </w:pPr>
      <w:r>
        <w:rPr>
          <w:rFonts w:ascii="Tahoma" w:cs="Tahoma" w:eastAsia="Tahoma" w:hAnsi="Tahoma"/>
          <w:sz w:val="18"/>
          <w:szCs w:val="18"/>
        </w:rPr>
        <w:t xml:space="preserve">LOTO shall be applied to all types of high-pressure testing equipment.</w:t>
      </w:r>
    </w:p>
    <w:p>
      <w:pPr>
        <w:pStyle w:val="ListParagraph"/>
        <w:numPr>
          <w:ilvl w:val="0"/>
          <w:numId w:val="2"/>
        </w:numPr>
        <w:spacing w:after="60" w:line="268"/>
        <w:jc w:val="both"/>
      </w:pPr>
      <w:r>
        <w:rPr>
          <w:rFonts w:ascii="Tahoma" w:cs="Tahoma" w:eastAsia="Tahoma" w:hAnsi="Tahoma"/>
          <w:sz w:val="20"/>
          <w:szCs w:val="20"/>
        </w:rPr>
        <w:t xml:space="preserve">All lock-out devices must allow a tag-out device to be securely attached</w:t>
      </w:r>
    </w:p>
    <w:p>
      <w:pPr>
        <w:pStyle w:val="ListParagraph"/>
        <w:numPr>
          <w:ilvl w:val="0"/>
          <w:numId w:val="2"/>
        </w:numPr>
        <w:spacing w:after="60" w:line="268"/>
        <w:jc w:val="both"/>
      </w:pPr>
      <w:r>
        <w:rPr>
          <w:rFonts w:ascii="Tahoma" w:cs="Tahoma" w:eastAsia="Tahoma" w:hAnsi="Tahoma"/>
          <w:sz w:val="20"/>
          <w:szCs w:val="20"/>
        </w:rPr>
        <w:t xml:space="preserve">Tag-out devices must be legible and printed in Arabic &amp; English</w:t>
      </w:r>
    </w:p>
    <w:p>
      <w:pPr>
        <w:pStyle w:val="ListParagraph"/>
        <w:numPr>
          <w:ilvl w:val="0"/>
          <w:numId w:val="2"/>
        </w:numPr>
        <w:spacing w:after="60" w:line="268"/>
        <w:jc w:val="both"/>
      </w:pPr>
      <w:r>
        <w:rPr>
          <w:rFonts w:ascii="Tahoma" w:cs="Tahoma" w:eastAsia="Tahoma" w:hAnsi="Tahoma"/>
          <w:sz w:val="20"/>
          <w:szCs w:val="20"/>
        </w:rPr>
        <w:t xml:space="preserve">Lock-out and tag-out devices must be:</w:t>
      </w:r>
    </w:p>
    <w:p>
      <w:pPr>
        <w:pStyle w:val="ListParagraph"/>
        <w:numPr>
          <w:ilvl w:val="0"/>
          <w:numId w:val="3"/>
        </w:numPr>
        <w:spacing w:after="40" w:line="264"/>
      </w:pPr>
      <w:r>
        <w:rPr>
          <w:rFonts w:ascii="Tahoma" w:cs="Tahoma" w:eastAsia="Tahoma" w:hAnsi="Tahoma"/>
          <w:sz w:val="18"/>
          <w:szCs w:val="18"/>
        </w:rPr>
        <w:t xml:space="preserve">Singularly identifiable</w:t>
      </w:r>
    </w:p>
    <w:p>
      <w:pPr>
        <w:pStyle w:val="ListParagraph"/>
        <w:numPr>
          <w:ilvl w:val="0"/>
          <w:numId w:val="3"/>
        </w:numPr>
        <w:spacing w:after="40" w:line="264"/>
      </w:pPr>
      <w:r>
        <w:rPr>
          <w:rFonts w:ascii="Tahoma" w:cs="Tahoma" w:eastAsia="Tahoma" w:hAnsi="Tahoma"/>
          <w:sz w:val="18"/>
          <w:szCs w:val="18"/>
        </w:rPr>
        <w:t xml:space="preserve">Robust to isolate and secure the plant/equipment/machine</w:t>
      </w:r>
    </w:p>
    <w:p>
      <w:pPr>
        <w:pStyle w:val="ListParagraph"/>
        <w:numPr>
          <w:ilvl w:val="0"/>
          <w:numId w:val="3"/>
        </w:numPr>
        <w:spacing w:after="40" w:line="264"/>
      </w:pPr>
      <w:r>
        <w:rPr>
          <w:rFonts w:ascii="Tahoma" w:cs="Tahoma" w:eastAsia="Tahoma" w:hAnsi="Tahoma"/>
          <w:sz w:val="18"/>
          <w:szCs w:val="18"/>
        </w:rPr>
        <w:t xml:space="preserve">Capable of withstanding the environmental conditions where they are used</w:t>
      </w:r>
    </w:p>
    <w:p>
      <w:pPr>
        <w:pStyle w:val="ListParagraph"/>
        <w:numPr>
          <w:ilvl w:val="0"/>
          <w:numId w:val="2"/>
        </w:numPr>
        <w:spacing w:after="60" w:line="268"/>
        <w:jc w:val="both"/>
      </w:pPr>
      <w:r>
        <w:rPr>
          <w:rFonts w:ascii="Tahoma" w:cs="Tahoma" w:eastAsia="Tahoma" w:hAnsi="Tahoma"/>
          <w:sz w:val="20"/>
          <w:szCs w:val="20"/>
        </w:rPr>
        <w:t xml:space="preserve">LOTO activities must be periodically inspected by an independent competent person and the outcomes documented.</w:t>
      </w:r>
    </w:p>
    <w:p>
      <w:pPr>
        <w:pStyle w:val="ListParagraph"/>
        <w:numPr>
          <w:ilvl w:val="0"/>
          <w:numId w:val="2"/>
        </w:numPr>
        <w:spacing w:after="60" w:line="268"/>
        <w:jc w:val="both"/>
      </w:pPr>
      <w:r>
        <w:rPr>
          <w:rFonts w:ascii="Tahoma" w:cs="Tahoma" w:eastAsia="Tahoma" w:hAnsi="Tahoma"/>
          <w:sz w:val="20"/>
          <w:szCs w:val="20"/>
        </w:rPr>
        <w:t xml:space="preserve">Piping or equipment shall be isolated by chain-locked closed valves and tagged or blinds.</w:t>
      </w:r>
    </w:p>
    <w:p>
      <w:pPr>
        <w:pStyle w:val="Heading1"/>
      </w:pPr>
      <w:bookmarkStart w:id="9006" w:name="_DanToc9006"/>
      <w:r>
        <w:t xml:space="preserve">2. Planning</w:t>
      </w:r>
      <w:bookmarkEnd w:id="9006"/>
    </w:p>
    <w:p>
      <w:pPr>
        <w:pStyle w:val="ListParagraph"/>
        <w:numPr>
          <w:ilvl w:val="0"/>
          <w:numId w:val="2"/>
        </w:numPr>
        <w:spacing w:after="60" w:line="268"/>
        <w:jc w:val="both"/>
      </w:pPr>
      <w:r>
        <w:rPr>
          <w:rFonts w:ascii="Tahoma" w:cs="Tahoma" w:eastAsia="Tahoma" w:hAnsi="Tahoma"/>
          <w:sz w:val="20"/>
          <w:szCs w:val="20"/>
        </w:rPr>
        <w:t xml:space="preserve">Specific Job planning, an isolation plan shall be developed that shall identify all locations to be isolated, types of isolating devices to be used, and site/job-specific procedures for isolating the equipment.</w:t>
      </w:r>
    </w:p>
    <w:p>
      <w:pPr>
        <w:pStyle w:val="ListParagraph"/>
        <w:numPr>
          <w:ilvl w:val="0"/>
          <w:numId w:val="2"/>
        </w:numPr>
        <w:spacing w:after="60" w:line="268"/>
        <w:jc w:val="both"/>
      </w:pPr>
      <w:r>
        <w:rPr>
          <w:rFonts w:ascii="Tahoma" w:cs="Tahoma" w:eastAsia="Tahoma" w:hAnsi="Tahoma"/>
          <w:sz w:val="20"/>
          <w:szCs w:val="20"/>
        </w:rPr>
        <w:t xml:space="preserve">All forms of isolation (electrical, mechanical, or otherwise) shall use the Lock/Hold Tag at every isolation point. The following information shall be provided on all tags:</w:t>
      </w:r>
    </w:p>
    <w:p>
      <w:pPr>
        <w:pStyle w:val="ListParagraph"/>
        <w:numPr>
          <w:ilvl w:val="0"/>
          <w:numId w:val="3"/>
        </w:numPr>
        <w:spacing w:after="40" w:line="264"/>
      </w:pPr>
      <w:r>
        <w:rPr>
          <w:rFonts w:ascii="Tahoma" w:cs="Tahoma" w:eastAsia="Tahoma" w:hAnsi="Tahoma"/>
          <w:sz w:val="18"/>
          <w:szCs w:val="18"/>
        </w:rPr>
        <w:t xml:space="preserve">Date and time of lockout.</w:t>
      </w:r>
    </w:p>
    <w:p>
      <w:pPr>
        <w:pStyle w:val="ListParagraph"/>
        <w:numPr>
          <w:ilvl w:val="0"/>
          <w:numId w:val="3"/>
        </w:numPr>
        <w:spacing w:after="40" w:line="264"/>
      </w:pPr>
      <w:r>
        <w:rPr>
          <w:rFonts w:ascii="Tahoma" w:cs="Tahoma" w:eastAsia="Tahoma" w:hAnsi="Tahoma"/>
          <w:sz w:val="18"/>
          <w:szCs w:val="18"/>
        </w:rPr>
        <w:t xml:space="preserve">Name, ID number, organization, contact phone, and signature of the individual who installed the isolation device.</w:t>
      </w:r>
    </w:p>
    <w:p>
      <w:pPr>
        <w:pStyle w:val="ListParagraph"/>
        <w:numPr>
          <w:ilvl w:val="0"/>
          <w:numId w:val="3"/>
        </w:numPr>
        <w:spacing w:after="40" w:line="264"/>
      </w:pPr>
      <w:r>
        <w:rPr>
          <w:rFonts w:ascii="Tahoma" w:cs="Tahoma" w:eastAsia="Tahoma" w:hAnsi="Tahoma"/>
          <w:sz w:val="18"/>
          <w:szCs w:val="18"/>
        </w:rPr>
        <w:t xml:space="preserve">The reason for the isolation.</w:t>
      </w:r>
    </w:p>
    <w:p>
      <w:pPr>
        <w:pStyle w:val="ListParagraph"/>
        <w:numPr>
          <w:ilvl w:val="0"/>
          <w:numId w:val="2"/>
        </w:numPr>
        <w:spacing w:after="60" w:line="268"/>
        <w:jc w:val="both"/>
      </w:pPr>
      <w:r>
        <w:rPr>
          <w:rFonts w:ascii="Tahoma" w:cs="Tahoma" w:eastAsia="Tahoma" w:hAnsi="Tahoma"/>
          <w:sz w:val="20"/>
          <w:szCs w:val="20"/>
        </w:rPr>
        <w:t xml:space="preserve">All necessary isolation and blinding equipment and devices – tags, locks, chains, clamps, blinds, etc. - must be made ready and inspected prior to work commencing.</w:t>
      </w:r>
    </w:p>
    <w:p>
      <w:pPr>
        <w:pStyle w:val="ListParagraph"/>
        <w:numPr>
          <w:ilvl w:val="0"/>
          <w:numId w:val="2"/>
        </w:numPr>
        <w:spacing w:after="60" w:line="268"/>
        <w:jc w:val="both"/>
      </w:pPr>
      <w:r>
        <w:rPr>
          <w:rFonts w:ascii="Tahoma" w:cs="Tahoma" w:eastAsia="Tahoma" w:hAnsi="Tahoma"/>
          <w:sz w:val="20"/>
          <w:szCs w:val="20"/>
        </w:rPr>
        <w:t xml:space="preserve">Each lock, key and blind installed shall be tracked in a tracking sheet where they can be located at site and identified.</w:t>
      </w:r>
    </w:p>
    <w:p>
      <w:pPr>
        <w:pStyle w:val="ListParagraph"/>
        <w:numPr>
          <w:ilvl w:val="0"/>
          <w:numId w:val="2"/>
        </w:numPr>
        <w:spacing w:after="60" w:line="268"/>
        <w:jc w:val="both"/>
      </w:pPr>
      <w:r>
        <w:rPr>
          <w:rFonts w:ascii="Tahoma" w:cs="Tahoma" w:eastAsia="Tahoma" w:hAnsi="Tahoma"/>
          <w:sz w:val="20"/>
          <w:szCs w:val="20"/>
        </w:rPr>
        <w:t xml:space="preserve">Isolation shall be considered complete only when no associated device can energize the equipment.</w:t>
      </w:r>
    </w:p>
    <w:p>
      <w:pPr>
        <w:pStyle w:val="ListParagraph"/>
        <w:numPr>
          <w:ilvl w:val="0"/>
          <w:numId w:val="2"/>
        </w:numPr>
        <w:spacing w:after="60" w:line="268"/>
        <w:jc w:val="both"/>
      </w:pPr>
      <w:r>
        <w:rPr>
          <w:rFonts w:ascii="Tahoma" w:cs="Tahoma" w:eastAsia="Tahoma" w:hAnsi="Tahoma"/>
          <w:sz w:val="20"/>
          <w:szCs w:val="20"/>
        </w:rPr>
        <w:t xml:space="preserve">In situations where it is not possible to lock out an isolating device, isolation may be accomplished by removal of fuses, disconnection of electrical cables, or physical removal of a component of the system supplying energy to the equipment. The point of physical interruption shall be identified with a fully completed hold tag.</w:t>
      </w:r>
    </w:p>
    <w:p>
      <w:pPr>
        <w:pStyle w:val="ListParagraph"/>
        <w:numPr>
          <w:ilvl w:val="0"/>
          <w:numId w:val="2"/>
        </w:numPr>
        <w:spacing w:after="60" w:line="268"/>
        <w:jc w:val="both"/>
      </w:pPr>
      <w:r>
        <w:rPr>
          <w:rFonts w:ascii="Tahoma" w:cs="Tahoma" w:eastAsia="Tahoma" w:hAnsi="Tahoma"/>
          <w:sz w:val="20"/>
          <w:szCs w:val="20"/>
        </w:rPr>
        <w:t xml:space="preserve">Each lock on a piece of equipment or on a multiple lockout clip shall be identified with a subsequent hold tag.</w:t>
      </w:r>
    </w:p>
    <w:p>
      <w:pPr>
        <w:pStyle w:val="ListParagraph"/>
        <w:numPr>
          <w:ilvl w:val="0"/>
          <w:numId w:val="2"/>
        </w:numPr>
        <w:spacing w:after="60" w:line="268"/>
        <w:jc w:val="both"/>
      </w:pPr>
      <w:r>
        <w:rPr>
          <w:rFonts w:ascii="Tahoma" w:cs="Tahoma" w:eastAsia="Tahoma" w:hAnsi="Tahoma"/>
          <w:sz w:val="20"/>
          <w:szCs w:val="20"/>
        </w:rPr>
        <w:t xml:space="preserve">Each lock shall be keyed separately, with no duplicate key, to ensure removal only by the authorized user.</w:t>
      </w:r>
    </w:p>
    <w:p>
      <w:pPr>
        <w:pStyle w:val="ListParagraph"/>
        <w:numPr>
          <w:ilvl w:val="0"/>
          <w:numId w:val="2"/>
        </w:numPr>
        <w:spacing w:after="60" w:line="268"/>
        <w:jc w:val="both"/>
      </w:pPr>
      <w:r>
        <w:rPr>
          <w:rFonts w:ascii="Tahoma" w:cs="Tahoma" w:eastAsia="Tahoma" w:hAnsi="Tahoma"/>
          <w:sz w:val="20"/>
          <w:szCs w:val="20"/>
        </w:rPr>
        <w:t xml:space="preserve">No padlock/lockout device shall be cut or forcefully removed without the permission of the lock owners.</w:t>
      </w:r>
    </w:p>
    <w:p>
      <w:pPr>
        <w:pStyle w:val="ListParagraph"/>
        <w:numPr>
          <w:ilvl w:val="0"/>
          <w:numId w:val="2"/>
        </w:numPr>
        <w:spacing w:after="60" w:line="268"/>
        <w:jc w:val="both"/>
      </w:pPr>
      <w:r>
        <w:rPr>
          <w:rFonts w:ascii="Tahoma" w:cs="Tahoma" w:eastAsia="Tahoma" w:hAnsi="Tahoma"/>
          <w:sz w:val="20"/>
          <w:szCs w:val="20"/>
        </w:rPr>
        <w:t xml:space="preserve">When a shift change occurs and work has not been completed, the oncoming shift may:</w:t>
      </w:r>
    </w:p>
    <w:p>
      <w:pPr>
        <w:pStyle w:val="ListParagraph"/>
        <w:numPr>
          <w:ilvl w:val="0"/>
          <w:numId w:val="3"/>
        </w:numPr>
        <w:spacing w:after="40" w:line="264"/>
      </w:pPr>
      <w:r>
        <w:rPr>
          <w:rFonts w:ascii="Tahoma" w:cs="Tahoma" w:eastAsia="Tahoma" w:hAnsi="Tahoma"/>
          <w:sz w:val="18"/>
          <w:szCs w:val="18"/>
        </w:rPr>
        <w:t xml:space="preserve">Replace the previous shift’s locks and tags with their own locks and tags, in which case the off-going shift shall remove their locks and tags.</w:t>
      </w:r>
    </w:p>
    <w:p>
      <w:pPr>
        <w:pStyle w:val="ListParagraph"/>
        <w:numPr>
          <w:ilvl w:val="0"/>
          <w:numId w:val="3"/>
        </w:numPr>
        <w:spacing w:after="40" w:line="264"/>
      </w:pPr>
      <w:r>
        <w:rPr>
          <w:rFonts w:ascii="Tahoma" w:cs="Tahoma" w:eastAsia="Tahoma" w:hAnsi="Tahoma"/>
          <w:sz w:val="18"/>
          <w:szCs w:val="18"/>
        </w:rPr>
        <w:t xml:space="preserve">Transfer keys between shifts. This transfer requires the supervisors to conduct a detailed review of installed locks and tags. Hold tags belonging to the original shift crew shall be signed by the oncoming shift personnel, or entirely new tags shall be completed by the oncoming shift and installed to replace the original shift’s hold tags.</w:t>
      </w:r>
    </w:p>
    <w:p>
      <w:pPr>
        <w:pStyle w:val="ListParagraph"/>
        <w:numPr>
          <w:ilvl w:val="0"/>
          <w:numId w:val="2"/>
        </w:numPr>
        <w:spacing w:after="60" w:line="268"/>
        <w:jc w:val="both"/>
      </w:pPr>
      <w:r>
        <w:rPr>
          <w:rFonts w:ascii="Tahoma" w:cs="Tahoma" w:eastAsia="Tahoma" w:hAnsi="Tahoma"/>
          <w:sz w:val="20"/>
          <w:szCs w:val="20"/>
        </w:rPr>
        <w:t xml:space="preserve">Piping or equipment shall be isolated and/or blinded and the contents drained, vented, or purged before any work is performed (repairs, maintenance, modifications, etc.).</w:t>
      </w:r>
    </w:p>
    <w:p>
      <w:pPr>
        <w:pStyle w:val="Heading1"/>
      </w:pPr>
      <w:bookmarkStart w:id="9007" w:name="_DanToc9007"/>
      <w:r>
        <w:t xml:space="preserve">3. Training</w:t>
      </w:r>
      <w:bookmarkEnd w:id="9007"/>
    </w:p>
    <w:p>
      <w:pPr>
        <w:pStyle w:val="ListParagraph"/>
        <w:numPr>
          <w:ilvl w:val="0"/>
          <w:numId w:val="2"/>
        </w:numPr>
        <w:spacing w:after="60" w:line="268"/>
        <w:jc w:val="both"/>
      </w:pPr>
      <w:r>
        <w:rPr>
          <w:rFonts w:ascii="Tahoma" w:cs="Tahoma" w:eastAsia="Tahoma" w:hAnsi="Tahoma"/>
          <w:sz w:val="20"/>
          <w:szCs w:val="20"/>
        </w:rPr>
        <w:t xml:space="preserve">Training for the subject of LOTO shall be part of the HSE induction. This is so that everyone will be aware of what LOTO is and why the procedure is enforced.</w:t>
      </w:r>
    </w:p>
    <w:p>
      <w:pPr>
        <w:pStyle w:val="ListParagraph"/>
        <w:numPr>
          <w:ilvl w:val="0"/>
          <w:numId w:val="2"/>
        </w:numPr>
        <w:spacing w:after="60" w:line="268"/>
        <w:jc w:val="both"/>
      </w:pPr>
      <w:r>
        <w:rPr>
          <w:rFonts w:ascii="Tahoma" w:cs="Tahoma" w:eastAsia="Tahoma" w:hAnsi="Tahoma"/>
          <w:sz w:val="20"/>
          <w:szCs w:val="20"/>
        </w:rPr>
        <w:t xml:space="preserve">LOTO special training shall be delivered to all authorized personnel for applying LOTO.</w:t>
      </w:r>
    </w:p>
    <w:p>
      <w:pPr>
        <w:pStyle w:val="Heading1"/>
      </w:pPr>
      <w:bookmarkStart w:id="9008" w:name="_DanToc9008"/>
      <w:r>
        <w:t xml:space="preserve">Revision History</w:t>
      </w:r>
      <w:bookmarkEnd w:id="9008"/>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500"/>
        <w:gridCol w:w="4460"/>
        <w:gridCol w:w="2400"/>
      </w:tblGrid>
      <w:tr>
        <w:trPr>
          <w:tblHeader/>
        </w:trPr>
        <w:tc>
          <w:tcPr>
            <w:tcW w:type="dxa" w:w="10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Rev.</w:t>
            </w:r>
          </w:p>
        </w:tc>
        <w:tc>
          <w:tcPr>
            <w:tcW w:type="dxa" w:w="15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Date</w:t>
            </w:r>
          </w:p>
        </w:tc>
        <w:tc>
          <w:tcPr>
            <w:tcW w:type="dxa" w:w="446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Description of Change</w:t>
            </w:r>
          </w:p>
        </w:tc>
        <w:tc>
          <w:tcPr>
            <w:tcW w:type="dxa" w:w="24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Approved By</w:t>
            </w:r>
          </w:p>
        </w:tc>
      </w:tr>
      <w:tr>
        <w:tc>
          <w:tcPr>
            <w:tcW w:type="dxa" w:w="10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R01</w:t>
            </w:r>
          </w:p>
        </w:tc>
        <w:tc>
          <w:tcPr>
            <w:tcW w:type="dxa" w:w="15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June 2026</w:t>
            </w:r>
          </w:p>
        </w:tc>
        <w:tc>
          <w:tcPr>
            <w:tcW w:type="dxa" w:w="4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First issue — DAN HSE Minimum Requirement, adapted from the source OH&amp;S minimum requirement, re-branded to DAN and coded to the DAN document-numbering convention (01-000001-000000-DAN-HSE-MNR-{seq}).</w:t>
            </w:r>
          </w:p>
        </w:tc>
        <w:tc>
          <w:tcPr>
            <w:tcW w:type="dxa" w:w="24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HSSE Manager</w:t>
            </w:r>
          </w:p>
        </w:tc>
      </w:tr>
    </w:tbl>
    <w:sectPr>
      <w:headerReference w:type="default" r:id="rId7"/>
      <w:footerReference w:type="default" r:id="rId8"/>
      <w:pgSz w:w="12240" w:h="15840" w:orient="portrait"/>
      <w:pgMar w:top="162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3AA" w:sz="6" w:space="4"/>
      </w:pBdr>
      <w:tabs>
        <w:tab w:val="right" w:pos="9360"/>
      </w:tabs>
    </w:pPr>
    <w:r>
      <w:rPr>
        <w:rFonts w:ascii="Tahoma" w:cs="Tahoma" w:eastAsia="Tahoma" w:hAnsi="Tahoma"/>
        <w:color w:val="595959"/>
        <w:sz w:val="14"/>
        <w:szCs w:val="14"/>
      </w:rPr>
      <w:t xml:space="preserve">DAN HSE — Minimum Requirement</w:t>
    </w:r>
    <w:r>
      <w:rPr>
        <w:rFonts w:ascii="Tahoma" w:cs="Tahoma" w:eastAsia="Tahoma" w:hAnsi="Tahoma"/>
        <w:sz w:val="14"/>
        <w:szCs w:val="14"/>
      </w:rPr>
      <w:t xml:space="preserve">	</w:t>
    </w:r>
    <w:r>
      <w:rPr>
        <w:rFonts w:ascii="Tahoma" w:cs="Tahoma" w:eastAsia="Tahoma" w:hAnsi="Tahoma"/>
        <w:color w:val="595959"/>
        <w:sz w:val="14"/>
        <w:szCs w:val="14"/>
      </w:rPr>
      <w:t xml:space="preserve">Page </w:t>
    </w:r>
    <w:r>
      <w:rPr>
        <w:rFonts w:ascii="Tahoma" w:cs="Tahoma" w:eastAsia="Tahoma" w:hAnsi="Tahoma"/>
        <w:color w:val="595959"/>
        <w:sz w:val="14"/>
        <w:szCs w:val="14"/>
      </w:rPr>
      <w:fldChar w:fldCharType="begin"/>
      <w:instrText xml:space="preserve">PAGE</w:instrText>
      <w:fldChar w:fldCharType="separate"/>
      <w:fldChar w:fldCharType="end"/>
    </w:r>
    <w:r>
      <w:rPr>
        <w:rFonts w:ascii="Tahoma" w:cs="Tahoma" w:eastAsia="Tahoma" w:hAnsi="Tahoma"/>
        <w:color w:val="595959"/>
        <w:sz w:val="14"/>
        <w:szCs w:val="14"/>
      </w:rPr>
      <w:t xml:space="preserve"> of </w:t>
    </w:r>
    <w:r>
      <w:rPr>
        <w:rFonts w:ascii="Tahoma" w:cs="Tahoma" w:eastAsia="Tahoma" w:hAnsi="Tahoma"/>
        <w:color w:val="595959"/>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4680"/>
      <w:gridCol w:w="4680"/>
    </w:tblGrid>
    <w:tr>
      <w:tc>
        <w:tcPr>
          <w:tcW w:type="dxa" w:w="4680"/>
          <w:tcBorders>
            <w:top w:val="none" w:color="FFFFFF" w:sz="0"/>
            <w:left w:val="none" w:color="FFFFFF" w:sz="0"/>
            <w:bottom w:val="none" w:color="FFFFFF" w:sz="0"/>
            <w:right w:val="none" w:color="FFFFFF" w:sz="0"/>
          </w:tcBorders>
        </w:tcPr>
        <w:p>
          <w:r>
            <w:rPr>
              <w:rFonts w:ascii="Tahoma" w:cs="Tahoma" w:eastAsia="Tahoma" w:hAnsi="Tahoma"/>
              <w:b/>
              <w:bCs/>
              <w:color w:val="542A12"/>
              <w:sz w:val="22"/>
              <w:szCs w:val="22"/>
            </w:rPr>
            <w:t xml:space="preserve">DAN</w:t>
          </w:r>
          <w:r>
            <w:rPr>
              <w:rFonts w:ascii="Tahoma" w:cs="Tahoma" w:eastAsia="Tahoma" w:hAnsi="Tahoma"/>
              <w:color w:val="595959"/>
              <w:sz w:val="14"/>
              <w:szCs w:val="14"/>
            </w:rPr>
            <w:t xml:space="preserve">  |  HSSE Management System</w:t>
          </w:r>
        </w:p>
      </w:tc>
      <w:tc>
        <w:tcPr>
          <w:tcW w:type="dxa" w:w="4680"/>
          <w:tcBorders>
            <w:top w:val="none" w:color="FFFFFF" w:sz="0"/>
            <w:left w:val="none" w:color="FFFFFF" w:sz="0"/>
            <w:bottom w:val="none" w:color="FFFFFF" w:sz="0"/>
            <w:right w:val="none" w:color="FFFFFF" w:sz="0"/>
          </w:tcBorders>
        </w:tcPr>
        <w:p>
          <w:pPr>
            <w:jc w:val="right"/>
          </w:pPr>
          <w:r>
            <w:rPr>
              <w:rFonts w:ascii="Tahoma" w:cs="Tahoma" w:eastAsia="Tahoma" w:hAnsi="Tahoma"/>
              <w:color w:val="595959"/>
              <w:sz w:val="14"/>
              <w:szCs w:val="14"/>
            </w:rPr>
            <w:t xml:space="preserve">01-000001-000000-DAN-HSE-MNR-000010 · R01</w:t>
          </w:r>
        </w:p>
      </w:tc>
    </w:tr>
  </w:tbl>
  <w:p>
    <w:pPr>
      <w:pBdr>
        <w:bottom w:val="single" w:color="542A12" w:sz="6" w:space="1"/>
      </w:pBdr>
      <w:spacing w:before="40"/>
    </w:pPr>
    <w:r>
      <w:rPr>
        <w:sz w:val="2"/>
        <w:szCs w:val="2"/>
      </w:rP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rPr>
        <w:color w:val="542A12"/>
      </w:rPr>
    </w:lvl>
  </w:abstractNum>
  <w:abstractNum w:abstractNumId="3" w15:restartNumberingAfterBreak="0">
    <w:multiLevelType w:val="hybridMultilevel"/>
    <w:lvl w:ilvl="0" w15:tentative="1">
      <w:start w:val="1"/>
      <w:numFmt w:val="bullet"/>
      <w:lvlText w:val="•"/>
      <w:lvlJc w:val="left"/>
      <w:pPr>
        <w:ind w:left="900" w:hanging="270"/>
      </w:pPr>
      <w:rPr>
        <w:color w:val="E68233"/>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ahoma" w:cs="Tahoma" w:eastAsia="Tahoma" w:hAnsi="Tahoma"/>
        <w:color w:val="222222"/>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D9CCC2" w:sz="4" w:space="4"/>
      </w:pBdr>
      <w:spacing w:after="140" w:before="280"/>
      <w:outlineLvl w:val="0"/>
    </w:pPr>
    <w:rPr>
      <w:rFonts w:ascii="Tahoma" w:cs="Tahoma" w:eastAsia="Tahoma" w:hAnsi="Tahoma"/>
      <w:b/>
      <w:bCs/>
      <w:color w:val="542A12"/>
      <w:sz w:val="26"/>
      <w:szCs w:val="26"/>
    </w:rPr>
  </w:style>
  <w:style w:type="paragraph" w:styleId="Heading2">
    <w:name w:val="Heading 2"/>
    <w:basedOn w:val="Normal"/>
    <w:next w:val="Normal"/>
    <w:qFormat/>
    <w:pPr>
      <w:spacing w:after="100" w:before="200"/>
      <w:outlineLvl w:val="1"/>
    </w:pPr>
    <w:rPr>
      <w:rFonts w:ascii="Tahoma" w:cs="Tahoma" w:eastAsia="Tahoma" w:hAnsi="Tahoma"/>
      <w:b/>
      <w:bCs/>
      <w:color w:val="B5692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d1936a4fbd2c20a575d426ea593d61c06905c283.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Lock Out / Tag Out</dc:title>
  <dc:creator>DAN HSSE Management System</dc:creator>
  <cp:lastModifiedBy>Un-named</cp:lastModifiedBy>
  <cp:revision>1</cp:revision>
  <dcterms:created xsi:type="dcterms:W3CDTF">2026-09-01T08:21:25.244Z</dcterms:created>
  <dcterms:modified xsi:type="dcterms:W3CDTF">2026-09-01T08:21:25.244Z</dcterms:modified>
</cp:coreProperties>
</file>

<file path=docProps/custom.xml><?xml version="1.0" encoding="utf-8"?>
<Properties xmlns="http://schemas.openxmlformats.org/officeDocument/2006/custom-properties" xmlns:vt="http://schemas.openxmlformats.org/officeDocument/2006/docPropsVTypes"/>
</file>