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Working Above or Adjacent to Water</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01-000001-000000-DAN-HSE-MNR-000023</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Purpose</w:t>
            </w:r>
          </w:hyperlink>
        </w:p>
        <w:p>
          <w:pPr>
            <w:spacing w:after="40" w:line="259"/>
            <w:ind w:left="0"/>
          </w:pPr>
          <w:hyperlink w:anchor="_DanToc9001" w:history="1">
            <w:r>
              <w:rPr>
                <w:rFonts w:ascii="Tahoma" w:hAnsi="Tahoma" w:cs="Tahoma"/>
                <w:b/>
                <w:color w:val="542A12"/>
                <w:sz w:val="20"/>
              </w:rPr>
              <w:t xml:space="preserve">Scope</w:t>
            </w:r>
          </w:hyperlink>
        </w:p>
        <w:p>
          <w:pPr>
            <w:spacing w:after="40" w:line="259"/>
            <w:ind w:left="0"/>
          </w:pPr>
          <w:hyperlink w:anchor="_DanToc9002" w:history="1">
            <w:r>
              <w:rPr>
                <w:rFonts w:ascii="Tahoma" w:hAnsi="Tahoma" w:cs="Tahoma"/>
                <w:b/>
                <w:color w:val="542A12"/>
                <w:sz w:val="20"/>
              </w:rPr>
              <w:t xml:space="preserve">Definitions</w:t>
            </w:r>
          </w:hyperlink>
        </w:p>
        <w:p>
          <w:pPr>
            <w:spacing w:after="40" w:line="259"/>
            <w:ind w:left="0"/>
          </w:pPr>
          <w:hyperlink w:anchor="_DanToc9003" w:history="1">
            <w:r>
              <w:rPr>
                <w:rFonts w:ascii="Tahoma" w:hAnsi="Tahoma" w:cs="Tahoma"/>
                <w:b/>
                <w:color w:val="542A12"/>
                <w:sz w:val="20"/>
              </w:rPr>
              <w:t xml:space="preserve">1. General Requirements</w:t>
            </w:r>
          </w:hyperlink>
        </w:p>
        <w:p>
          <w:pPr>
            <w:spacing w:after="40" w:line="259"/>
            <w:ind w:left="0"/>
          </w:pPr>
          <w:hyperlink w:anchor="_DanToc9004" w:history="1">
            <w:r>
              <w:rPr>
                <w:rFonts w:ascii="Tahoma" w:hAnsi="Tahoma" w:cs="Tahoma"/>
                <w:b/>
                <w:color w:val="542A12"/>
                <w:sz w:val="20"/>
              </w:rPr>
              <w:t xml:space="preserve">Standards</w:t>
            </w:r>
          </w:hyperlink>
        </w:p>
        <w:p>
          <w:pPr>
            <w:spacing w:after="40" w:line="259"/>
            <w:ind w:left="0"/>
          </w:pPr>
          <w:hyperlink w:anchor="_DanToc9005" w:history="1">
            <w:r>
              <w:rPr>
                <w:rFonts w:ascii="Tahoma" w:hAnsi="Tahoma" w:cs="Tahoma"/>
                <w:b/>
                <w:color w:val="542A12"/>
                <w:sz w:val="20"/>
              </w:rPr>
              <w:t xml:space="preserve">Tools and References</w:t>
            </w:r>
          </w:hyperlink>
        </w:p>
        <w:p>
          <w:pPr>
            <w:spacing w:after="40" w:line="259"/>
            <w:ind w:left="0"/>
          </w:pPr>
          <w:hyperlink w:anchor="_DanToc9006"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Purpose</w:t>
      </w:r>
      <w:bookmarkEnd w:id="9000"/>
    </w:p>
    <w:p>
      <w:pPr>
        <w:spacing w:after="120" w:line="276"/>
        <w:jc w:val="both"/>
      </w:pPr>
      <w:r>
        <w:rPr>
          <w:rFonts w:ascii="Tahoma" w:cs="Tahoma" w:eastAsia="Tahoma" w:hAnsi="Tahoma"/>
          <w:sz w:val="20"/>
          <w:szCs w:val="20"/>
        </w:rPr>
        <w:t xml:space="preserve">The purpose of Working Above or Adjacent to Water H&amp;S Requirements is to minimize the incidents or injuries from hazards associated with working in, on, over, or adjacent to water, to fulfil relevant legislative obligations, and ‘to minimize the risks of death, injury or illness as far as is reasonably practicable.</w:t>
      </w:r>
    </w:p>
    <w:p>
      <w:pPr>
        <w:pStyle w:val="Heading1"/>
      </w:pPr>
      <w:bookmarkStart w:id="9001" w:name="_DanToc9001"/>
      <w:r>
        <w:t xml:space="preserve">Scope</w:t>
      </w:r>
      <w:bookmarkEnd w:id="9001"/>
    </w:p>
    <w:p>
      <w:pPr>
        <w:spacing w:after="120" w:line="276"/>
        <w:jc w:val="both"/>
      </w:pPr>
      <w:r>
        <w:rPr>
          <w:rFonts w:ascii="Tahoma" w:cs="Tahoma" w:eastAsia="Tahoma" w:hAnsi="Tahoma"/>
          <w:sz w:val="20"/>
          <w:szCs w:val="20"/>
        </w:rPr>
        <w:t xml:space="preserve">This HSE Minimum Requirement applies to all parties’ personnel working within the DAN Company Company Limited “DAN” Projects, working above or adjacent to the water.</w:t>
      </w:r>
    </w:p>
    <w:p>
      <w:pPr>
        <w:pStyle w:val="Heading1"/>
      </w:pPr>
      <w:bookmarkStart w:id="9002" w:name="_DanToc9002"/>
      <w:r>
        <w:t xml:space="preserve">Definitions</w:t>
      </w:r>
      <w:bookmarkEnd w:id="900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Personal Floatation Device (PFD)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Lifejackets (also known as personal floatation devices, or PFDs) are suitable for use by persons engaged in activities in or near water in a range of prevailing conditions.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CPR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Cardiopulmonary resuscitation – life-saving techniques that are useful in many emergencies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Lifebuoys</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formed buoyant device for supporting a person who has fallen into the water</w:t>
            </w:r>
          </w:p>
        </w:tc>
      </w:tr>
    </w:tbl>
    <w:p>
      <w:pPr>
        <w:pStyle w:val="Heading1"/>
      </w:pPr>
      <w:bookmarkStart w:id="9003" w:name="_DanToc9003"/>
      <w:r>
        <w:t xml:space="preserve">1. General Requirements</w:t>
      </w:r>
      <w:bookmarkEnd w:id="9003"/>
    </w:p>
    <w:p>
      <w:pPr>
        <w:pStyle w:val="ListParagraph"/>
        <w:numPr>
          <w:ilvl w:val="0"/>
          <w:numId w:val="2"/>
        </w:numPr>
        <w:spacing w:after="60" w:line="268"/>
        <w:jc w:val="both"/>
      </w:pPr>
      <w:r>
        <w:rPr>
          <w:rFonts w:ascii="Tahoma" w:cs="Tahoma" w:eastAsia="Tahoma" w:hAnsi="Tahoma"/>
          <w:sz w:val="20"/>
          <w:szCs w:val="20"/>
        </w:rPr>
        <w:t xml:space="preserve">Where reasonably practicable, appropriate access and egress arrangements must be provided and maintained in a workplace where work activities are being undertaken on or in the vicinity of a water body. Requirements of security, ongoing maintenance, and emergency rescue must be considered when selecting these access and egress methods.</w:t>
      </w:r>
    </w:p>
    <w:p>
      <w:pPr>
        <w:pStyle w:val="ListParagraph"/>
        <w:numPr>
          <w:ilvl w:val="0"/>
          <w:numId w:val="2"/>
        </w:numPr>
        <w:spacing w:after="60" w:line="268"/>
        <w:jc w:val="both"/>
      </w:pPr>
      <w:r>
        <w:rPr>
          <w:rFonts w:ascii="Tahoma" w:cs="Tahoma" w:eastAsia="Tahoma" w:hAnsi="Tahoma"/>
          <w:sz w:val="20"/>
          <w:szCs w:val="20"/>
        </w:rPr>
        <w:t xml:space="preserve">Where reasonably practicable, appropriate edge protection e.g., handrails and/or guardrails that prevent a worker from falling into a water body must be provided, installed, and maintained.</w:t>
      </w:r>
    </w:p>
    <w:p>
      <w:pPr>
        <w:pStyle w:val="ListParagraph"/>
        <w:numPr>
          <w:ilvl w:val="0"/>
          <w:numId w:val="2"/>
        </w:numPr>
        <w:spacing w:after="60" w:line="268"/>
        <w:jc w:val="both"/>
      </w:pPr>
      <w:r>
        <w:rPr>
          <w:rFonts w:ascii="Tahoma" w:cs="Tahoma" w:eastAsia="Tahoma" w:hAnsi="Tahoma"/>
          <w:sz w:val="20"/>
          <w:szCs w:val="20"/>
        </w:rPr>
        <w:t xml:space="preserve">Temporary edge protection and barriers should be considered where the provision of permanent structure and protection is not reasonably practicable</w:t>
      </w:r>
    </w:p>
    <w:p>
      <w:pPr>
        <w:pStyle w:val="ListParagraph"/>
        <w:numPr>
          <w:ilvl w:val="0"/>
          <w:numId w:val="2"/>
        </w:numPr>
        <w:spacing w:after="60" w:line="268"/>
        <w:jc w:val="both"/>
      </w:pPr>
      <w:r>
        <w:rPr>
          <w:rFonts w:ascii="Tahoma" w:cs="Tahoma" w:eastAsia="Tahoma" w:hAnsi="Tahoma"/>
          <w:sz w:val="20"/>
          <w:szCs w:val="20"/>
        </w:rPr>
        <w:t xml:space="preserve">Good ground condition and housekeeping must be maintained where reasonably practicable to minimize the risk of falling into a water body.</w:t>
      </w:r>
    </w:p>
    <w:p>
      <w:pPr>
        <w:pStyle w:val="ListParagraph"/>
        <w:numPr>
          <w:ilvl w:val="0"/>
          <w:numId w:val="2"/>
        </w:numPr>
        <w:spacing w:after="60" w:line="268"/>
        <w:jc w:val="both"/>
      </w:pPr>
      <w:r>
        <w:rPr>
          <w:rFonts w:ascii="Tahoma" w:cs="Tahoma" w:eastAsia="Tahoma" w:hAnsi="Tahoma"/>
          <w:sz w:val="20"/>
          <w:szCs w:val="20"/>
        </w:rPr>
        <w:t xml:space="preserve">Where work activities that involve working on, in, or near water are being carried out at a workplace where natural light is not sufficient, additional lighting that is appropriate to the work being undertaken, should be provided and maintained.</w:t>
      </w:r>
    </w:p>
    <w:p>
      <w:pPr>
        <w:pStyle w:val="ListParagraph"/>
        <w:numPr>
          <w:ilvl w:val="0"/>
          <w:numId w:val="2"/>
        </w:numPr>
        <w:spacing w:after="60" w:line="268"/>
        <w:jc w:val="both"/>
      </w:pPr>
      <w:r>
        <w:rPr>
          <w:rFonts w:ascii="Tahoma" w:cs="Tahoma" w:eastAsia="Tahoma" w:hAnsi="Tahoma"/>
          <w:sz w:val="20"/>
          <w:szCs w:val="20"/>
        </w:rPr>
        <w:t xml:space="preserve">Appropriate work planning must be carried out prior to commencing any work activities that involve working on, in, or near water. The work planning may involve:</w:t>
      </w:r>
    </w:p>
    <w:p>
      <w:pPr>
        <w:pStyle w:val="ListParagraph"/>
        <w:numPr>
          <w:ilvl w:val="0"/>
          <w:numId w:val="3"/>
        </w:numPr>
        <w:spacing w:after="40" w:line="264"/>
      </w:pPr>
      <w:r>
        <w:rPr>
          <w:rFonts w:ascii="Tahoma" w:cs="Tahoma" w:eastAsia="Tahoma" w:hAnsi="Tahoma"/>
          <w:sz w:val="18"/>
          <w:szCs w:val="18"/>
        </w:rPr>
        <w:t xml:space="preserve">Determining the most appropriate work methods that minimize the risk of falling into the water, becoming submerged under water, and drowning.</w:t>
      </w:r>
    </w:p>
    <w:p>
      <w:pPr>
        <w:pStyle w:val="ListParagraph"/>
        <w:numPr>
          <w:ilvl w:val="0"/>
          <w:numId w:val="3"/>
        </w:numPr>
        <w:spacing w:after="40" w:line="264"/>
      </w:pPr>
      <w:r>
        <w:rPr>
          <w:rFonts w:ascii="Tahoma" w:cs="Tahoma" w:eastAsia="Tahoma" w:hAnsi="Tahoma"/>
          <w:sz w:val="18"/>
          <w:szCs w:val="18"/>
        </w:rPr>
        <w:t xml:space="preserve">Allocating adequate and Competent persons/workers to perform the task.</w:t>
      </w:r>
    </w:p>
    <w:p>
      <w:pPr>
        <w:pStyle w:val="ListParagraph"/>
        <w:numPr>
          <w:ilvl w:val="0"/>
          <w:numId w:val="3"/>
        </w:numPr>
        <w:spacing w:after="40" w:line="264"/>
      </w:pPr>
      <w:r>
        <w:rPr>
          <w:rFonts w:ascii="Tahoma" w:cs="Tahoma" w:eastAsia="Tahoma" w:hAnsi="Tahoma"/>
          <w:sz w:val="18"/>
          <w:szCs w:val="18"/>
        </w:rPr>
        <w:t xml:space="preserve">Selecting fit-for-purpose equipment.</w:t>
      </w:r>
    </w:p>
    <w:p>
      <w:pPr>
        <w:pStyle w:val="ListParagraph"/>
        <w:numPr>
          <w:ilvl w:val="0"/>
          <w:numId w:val="3"/>
        </w:numPr>
        <w:spacing w:after="40" w:line="264"/>
      </w:pPr>
      <w:r>
        <w:rPr>
          <w:rFonts w:ascii="Tahoma" w:cs="Tahoma" w:eastAsia="Tahoma" w:hAnsi="Tahoma"/>
          <w:sz w:val="18"/>
          <w:szCs w:val="18"/>
        </w:rPr>
        <w:t xml:space="preserve">Planning the most appropriate access/egress to or from the area you will be working in (e.g., it may be safer to access from the water rather than from land).</w:t>
      </w:r>
    </w:p>
    <w:p>
      <w:pPr>
        <w:pStyle w:val="ListParagraph"/>
        <w:numPr>
          <w:ilvl w:val="0"/>
          <w:numId w:val="3"/>
        </w:numPr>
        <w:spacing w:after="40" w:line="264"/>
      </w:pPr>
      <w:r>
        <w:rPr>
          <w:rFonts w:ascii="Tahoma" w:cs="Tahoma" w:eastAsia="Tahoma" w:hAnsi="Tahoma"/>
          <w:sz w:val="18"/>
          <w:szCs w:val="18"/>
        </w:rPr>
        <w:t xml:space="preserve">Developing or reviewing an SWMS.</w:t>
      </w:r>
    </w:p>
    <w:p>
      <w:pPr>
        <w:pStyle w:val="ListParagraph"/>
        <w:numPr>
          <w:ilvl w:val="0"/>
          <w:numId w:val="3"/>
        </w:numPr>
        <w:spacing w:after="40" w:line="264"/>
      </w:pPr>
      <w:r>
        <w:rPr>
          <w:rFonts w:ascii="Tahoma" w:cs="Tahoma" w:eastAsia="Tahoma" w:hAnsi="Tahoma"/>
          <w:sz w:val="18"/>
          <w:szCs w:val="18"/>
        </w:rPr>
        <w:t xml:space="preserve">Developing a rescue plan.</w:t>
      </w:r>
    </w:p>
    <w:p>
      <w:pPr>
        <w:pStyle w:val="ListParagraph"/>
        <w:numPr>
          <w:ilvl w:val="0"/>
          <w:numId w:val="2"/>
        </w:numPr>
        <w:spacing w:after="60" w:line="268"/>
        <w:jc w:val="both"/>
      </w:pPr>
      <w:r>
        <w:rPr>
          <w:rFonts w:ascii="Tahoma" w:cs="Tahoma" w:eastAsia="Tahoma" w:hAnsi="Tahoma"/>
          <w:sz w:val="20"/>
          <w:szCs w:val="20"/>
        </w:rPr>
        <w:t xml:space="preserve">Employees will be provided with specific competency-based training on:</w:t>
      </w:r>
    </w:p>
    <w:p>
      <w:pPr>
        <w:pStyle w:val="ListParagraph"/>
        <w:numPr>
          <w:ilvl w:val="0"/>
          <w:numId w:val="3"/>
        </w:numPr>
        <w:spacing w:after="40" w:line="264"/>
      </w:pPr>
      <w:r>
        <w:rPr>
          <w:rFonts w:ascii="Tahoma" w:cs="Tahoma" w:eastAsia="Tahoma" w:hAnsi="Tahoma"/>
          <w:sz w:val="18"/>
          <w:szCs w:val="18"/>
        </w:rPr>
        <w:t xml:space="preserve">Safety equipment - donning and doffing procedures for PFD</w:t>
      </w:r>
    </w:p>
    <w:p>
      <w:pPr>
        <w:pStyle w:val="ListParagraph"/>
        <w:numPr>
          <w:ilvl w:val="0"/>
          <w:numId w:val="3"/>
        </w:numPr>
        <w:spacing w:after="40" w:line="264"/>
      </w:pPr>
      <w:r>
        <w:rPr>
          <w:rFonts w:ascii="Tahoma" w:cs="Tahoma" w:eastAsia="Tahoma" w:hAnsi="Tahoma"/>
          <w:sz w:val="18"/>
          <w:szCs w:val="18"/>
        </w:rPr>
        <w:t xml:space="preserve">Emergency procedures</w:t>
      </w:r>
    </w:p>
    <w:p>
      <w:pPr>
        <w:pStyle w:val="ListParagraph"/>
        <w:numPr>
          <w:ilvl w:val="0"/>
          <w:numId w:val="3"/>
        </w:numPr>
        <w:spacing w:after="40" w:line="264"/>
      </w:pPr>
      <w:r>
        <w:rPr>
          <w:rFonts w:ascii="Tahoma" w:cs="Tahoma" w:eastAsia="Tahoma" w:hAnsi="Tahoma"/>
          <w:sz w:val="18"/>
          <w:szCs w:val="18"/>
        </w:rPr>
        <w:t xml:space="preserve">First aid, CPR, and treating persons rescued from the water</w:t>
      </w:r>
    </w:p>
    <w:p>
      <w:pPr>
        <w:pStyle w:val="ListParagraph"/>
        <w:numPr>
          <w:ilvl w:val="0"/>
          <w:numId w:val="2"/>
        </w:numPr>
        <w:spacing w:after="60" w:line="268"/>
        <w:jc w:val="both"/>
      </w:pPr>
      <w:r>
        <w:rPr>
          <w:rFonts w:ascii="Tahoma" w:cs="Tahoma" w:eastAsia="Tahoma" w:hAnsi="Tahoma"/>
          <w:sz w:val="20"/>
          <w:szCs w:val="20"/>
        </w:rPr>
        <w:t xml:space="preserve">Employees will be provided with specific additional PPE:</w:t>
      </w:r>
    </w:p>
    <w:p>
      <w:pPr>
        <w:pStyle w:val="ListParagraph"/>
        <w:numPr>
          <w:ilvl w:val="0"/>
          <w:numId w:val="3"/>
        </w:numPr>
        <w:spacing w:after="40" w:line="264"/>
      </w:pPr>
      <w:r>
        <w:rPr>
          <w:rFonts w:ascii="Tahoma" w:cs="Tahoma" w:eastAsia="Tahoma" w:hAnsi="Tahoma"/>
          <w:sz w:val="18"/>
          <w:szCs w:val="18"/>
        </w:rPr>
        <w:t xml:space="preserve">Appropriate fitting Personal Floatation Devices [PFD] buoyancy aid [Rated Type 1 or 2]</w:t>
      </w:r>
    </w:p>
    <w:p>
      <w:pPr>
        <w:pStyle w:val="ListParagraph"/>
        <w:numPr>
          <w:ilvl w:val="0"/>
          <w:numId w:val="2"/>
        </w:numPr>
        <w:spacing w:after="60" w:line="268"/>
        <w:jc w:val="both"/>
      </w:pPr>
      <w:r>
        <w:rPr>
          <w:rFonts w:ascii="Tahoma" w:cs="Tahoma" w:eastAsia="Tahoma" w:hAnsi="Tahoma"/>
          <w:sz w:val="20"/>
          <w:szCs w:val="20"/>
        </w:rPr>
        <w:t xml:space="preserve">Lifebuoys and rescue lines will be provided appropriately around the workplace.</w:t>
      </w:r>
    </w:p>
    <w:p>
      <w:pPr>
        <w:pStyle w:val="ListParagraph"/>
        <w:numPr>
          <w:ilvl w:val="0"/>
          <w:numId w:val="2"/>
        </w:numPr>
        <w:spacing w:after="60" w:line="268"/>
        <w:jc w:val="both"/>
      </w:pPr>
      <w:r>
        <w:rPr>
          <w:rFonts w:ascii="Tahoma" w:cs="Tahoma" w:eastAsia="Tahoma" w:hAnsi="Tahoma"/>
          <w:sz w:val="20"/>
          <w:szCs w:val="20"/>
        </w:rPr>
        <w:t xml:space="preserve">Access platforms and gangways will be:</w:t>
      </w:r>
    </w:p>
    <w:p>
      <w:pPr>
        <w:pStyle w:val="ListParagraph"/>
        <w:numPr>
          <w:ilvl w:val="0"/>
          <w:numId w:val="3"/>
        </w:numPr>
        <w:spacing w:after="40" w:line="264"/>
      </w:pPr>
      <w:r>
        <w:rPr>
          <w:rFonts w:ascii="Tahoma" w:cs="Tahoma" w:eastAsia="Tahoma" w:hAnsi="Tahoma"/>
          <w:sz w:val="18"/>
          <w:szCs w:val="18"/>
        </w:rPr>
        <w:t xml:space="preserve">A minimum of 800mm wide,</w:t>
      </w:r>
    </w:p>
    <w:p>
      <w:pPr>
        <w:pStyle w:val="ListParagraph"/>
        <w:numPr>
          <w:ilvl w:val="0"/>
          <w:numId w:val="3"/>
        </w:numPr>
        <w:spacing w:after="40" w:line="264"/>
      </w:pPr>
      <w:r>
        <w:rPr>
          <w:rFonts w:ascii="Tahoma" w:cs="Tahoma" w:eastAsia="Tahoma" w:hAnsi="Tahoma"/>
          <w:sz w:val="18"/>
          <w:szCs w:val="18"/>
        </w:rPr>
        <w:t xml:space="preserve">Edge protected using a guardrail system</w:t>
      </w:r>
    </w:p>
    <w:p>
      <w:pPr>
        <w:pStyle w:val="ListParagraph"/>
        <w:numPr>
          <w:ilvl w:val="0"/>
          <w:numId w:val="3"/>
        </w:numPr>
        <w:spacing w:after="40" w:line="264"/>
      </w:pPr>
      <w:r>
        <w:rPr>
          <w:rFonts w:ascii="Tahoma" w:cs="Tahoma" w:eastAsia="Tahoma" w:hAnsi="Tahoma"/>
          <w:sz w:val="18"/>
          <w:szCs w:val="18"/>
        </w:rPr>
        <w:t xml:space="preserve">Positioned above tidal water levels.</w:t>
      </w:r>
    </w:p>
    <w:p>
      <w:pPr>
        <w:pStyle w:val="ListParagraph"/>
        <w:numPr>
          <w:ilvl w:val="0"/>
          <w:numId w:val="2"/>
        </w:numPr>
        <w:spacing w:after="60" w:line="268"/>
        <w:jc w:val="both"/>
      </w:pPr>
      <w:r>
        <w:rPr>
          <w:rFonts w:ascii="Tahoma" w:cs="Tahoma" w:eastAsia="Tahoma" w:hAnsi="Tahoma"/>
          <w:sz w:val="20"/>
          <w:szCs w:val="20"/>
        </w:rPr>
        <w:t xml:space="preserve">Barges and pontoons will be appropriately constructed and remain stable to avoid a person falling through movement.</w:t>
      </w:r>
    </w:p>
    <w:p>
      <w:pPr>
        <w:pStyle w:val="ListParagraph"/>
        <w:numPr>
          <w:ilvl w:val="0"/>
          <w:numId w:val="2"/>
        </w:numPr>
        <w:spacing w:after="60" w:line="268"/>
        <w:jc w:val="both"/>
      </w:pPr>
      <w:r>
        <w:rPr>
          <w:rFonts w:ascii="Tahoma" w:cs="Tahoma" w:eastAsia="Tahoma" w:hAnsi="Tahoma"/>
          <w:sz w:val="20"/>
          <w:szCs w:val="20"/>
        </w:rPr>
        <w:t xml:space="preserve">Water transport where required, will comply with Coast Guard Regulations</w:t>
      </w:r>
    </w:p>
    <w:p>
      <w:pPr>
        <w:pStyle w:val="ListParagraph"/>
        <w:numPr>
          <w:ilvl w:val="0"/>
          <w:numId w:val="2"/>
        </w:numPr>
        <w:spacing w:after="60" w:line="268"/>
        <w:jc w:val="both"/>
      </w:pPr>
      <w:r>
        <w:rPr>
          <w:rFonts w:ascii="Tahoma" w:cs="Tahoma" w:eastAsia="Tahoma" w:hAnsi="Tahoma"/>
          <w:sz w:val="20"/>
          <w:szCs w:val="20"/>
        </w:rPr>
        <w:t xml:space="preserve">Rescue boats will be appropriately equipped, licensed, and maintained to manufacturers’ requirements.</w:t>
      </w:r>
    </w:p>
    <w:p>
      <w:pPr>
        <w:pStyle w:val="ListParagraph"/>
        <w:numPr>
          <w:ilvl w:val="0"/>
          <w:numId w:val="2"/>
        </w:numPr>
        <w:spacing w:after="60" w:line="268"/>
        <w:jc w:val="both"/>
      </w:pPr>
      <w:r>
        <w:rPr>
          <w:rFonts w:ascii="Tahoma" w:cs="Tahoma" w:eastAsia="Tahoma" w:hAnsi="Tahoma"/>
          <w:sz w:val="20"/>
          <w:szCs w:val="20"/>
        </w:rPr>
        <w:t xml:space="preserve">The use of electrical plant and equipment will be strictly controlled</w:t>
      </w:r>
    </w:p>
    <w:p>
      <w:pPr>
        <w:pStyle w:val="ListParagraph"/>
        <w:numPr>
          <w:ilvl w:val="0"/>
          <w:numId w:val="2"/>
        </w:numPr>
        <w:spacing w:after="60" w:line="268"/>
        <w:jc w:val="both"/>
      </w:pPr>
      <w:r>
        <w:rPr>
          <w:rFonts w:ascii="Tahoma" w:cs="Tahoma" w:eastAsia="Tahoma" w:hAnsi="Tahoma"/>
          <w:sz w:val="20"/>
          <w:szCs w:val="20"/>
        </w:rPr>
        <w:t xml:space="preserve">When working within two meters of an unprotected edge that is adjacent to a body of water into which a worker could fall into deep enough water to reasonably drown while carrying out the intended work. Examples include, but are not limited to:</w:t>
      </w:r>
    </w:p>
    <w:p>
      <w:pPr>
        <w:pStyle w:val="ListParagraph"/>
        <w:numPr>
          <w:ilvl w:val="0"/>
          <w:numId w:val="3"/>
        </w:numPr>
        <w:spacing w:after="40" w:line="264"/>
      </w:pPr>
      <w:r>
        <w:rPr>
          <w:rFonts w:ascii="Tahoma" w:cs="Tahoma" w:eastAsia="Tahoma" w:hAnsi="Tahoma"/>
          <w:sz w:val="18"/>
          <w:szCs w:val="18"/>
        </w:rPr>
        <w:t xml:space="preserve">A sediment basin where there are no handrails to protect an edge where a worker is unable to perform a self-rescue either due to their swimming ability or lack of a safe method of egress. For example, a worker who cannot swim is working near a deep reservoir or a worker who can swim is working near a water basin with no safe method to get out should they fall in.</w:t>
      </w:r>
    </w:p>
    <w:p>
      <w:pPr>
        <w:pStyle w:val="ListParagraph"/>
        <w:numPr>
          <w:ilvl w:val="0"/>
          <w:numId w:val="3"/>
        </w:numPr>
        <w:spacing w:after="40" w:line="264"/>
      </w:pPr>
      <w:r>
        <w:rPr>
          <w:rFonts w:ascii="Tahoma" w:cs="Tahoma" w:eastAsia="Tahoma" w:hAnsi="Tahoma"/>
          <w:sz w:val="18"/>
          <w:szCs w:val="18"/>
        </w:rPr>
        <w:t xml:space="preserve">Water where both self-rescue and rescue by others is difficult without a lifejacket.</w:t>
      </w:r>
    </w:p>
    <w:p>
      <w:pPr>
        <w:pStyle w:val="ListParagraph"/>
        <w:numPr>
          <w:ilvl w:val="0"/>
          <w:numId w:val="3"/>
        </w:numPr>
        <w:spacing w:after="40" w:line="264"/>
      </w:pPr>
      <w:r>
        <w:rPr>
          <w:rFonts w:ascii="Tahoma" w:cs="Tahoma" w:eastAsia="Tahoma" w:hAnsi="Tahoma"/>
          <w:sz w:val="18"/>
          <w:szCs w:val="18"/>
        </w:rPr>
        <w:t xml:space="preserve">A water body into which there is a high likelihood of a worker becoming unconscious should they fall in</w:t>
      </w:r>
    </w:p>
    <w:p>
      <w:pPr>
        <w:pStyle w:val="Heading1"/>
      </w:pPr>
      <w:bookmarkStart w:id="9004" w:name="_DanToc9004"/>
      <w:r>
        <w:t xml:space="preserve">Standards</w:t>
      </w:r>
      <w:bookmarkEnd w:id="9004"/>
    </w:p>
    <w:p>
      <w:pPr>
        <w:pStyle w:val="ListParagraph"/>
        <w:numPr>
          <w:ilvl w:val="0"/>
          <w:numId w:val="2"/>
        </w:numPr>
        <w:spacing w:after="60" w:line="268"/>
        <w:jc w:val="both"/>
      </w:pPr>
      <w:r>
        <w:rPr>
          <w:rFonts w:ascii="Tahoma" w:cs="Tahoma" w:eastAsia="Tahoma" w:hAnsi="Tahoma"/>
          <w:sz w:val="20"/>
          <w:szCs w:val="20"/>
        </w:rPr>
        <w:t xml:space="preserve">DAN Construction HSE Management System Manual (01-000001-000000-DAN-HSE-MAN-000001) and management procedures</w:t>
      </w:r>
    </w:p>
    <w:p>
      <w:pPr>
        <w:pStyle w:val="ListParagraph"/>
        <w:numPr>
          <w:ilvl w:val="0"/>
          <w:numId w:val="2"/>
        </w:numPr>
        <w:spacing w:after="60" w:line="268"/>
        <w:jc w:val="both"/>
      </w:pPr>
      <w:r>
        <w:rPr>
          <w:rFonts w:ascii="Tahoma" w:cs="Tahoma" w:eastAsia="Tahoma" w:hAnsi="Tahoma"/>
          <w:sz w:val="20"/>
          <w:szCs w:val="20"/>
        </w:rPr>
        <w:t xml:space="preserve">Saudi Labour Law – Royal Decree No. M/51, 23 Sha’ban 1426 / 27 September 2005.</w:t>
      </w:r>
    </w:p>
    <w:p>
      <w:pPr>
        <w:pStyle w:val="Heading1"/>
      </w:pPr>
      <w:bookmarkStart w:id="9005" w:name="_DanToc9005"/>
      <w:r>
        <w:t xml:space="preserve">Tools and References</w:t>
      </w:r>
      <w:bookmarkEnd w:id="9005"/>
    </w:p>
    <w:p>
      <w:pPr>
        <w:pStyle w:val="ListParagraph"/>
        <w:numPr>
          <w:ilvl w:val="0"/>
          <w:numId w:val="2"/>
        </w:numPr>
        <w:spacing w:after="60" w:line="268"/>
        <w:jc w:val="both"/>
      </w:pPr>
      <w:r>
        <w:rPr>
          <w:rFonts w:ascii="Tahoma" w:cs="Tahoma" w:eastAsia="Tahoma" w:hAnsi="Tahoma"/>
          <w:sz w:val="20"/>
          <w:szCs w:val="20"/>
        </w:rPr>
        <w:t xml:space="preserve">Approved Plan, Method Statement &amp; Risk Assessment</w:t>
      </w:r>
    </w:p>
    <w:p>
      <w:pPr>
        <w:pStyle w:val="ListParagraph"/>
        <w:numPr>
          <w:ilvl w:val="0"/>
          <w:numId w:val="2"/>
        </w:numPr>
        <w:spacing w:after="60" w:line="268"/>
        <w:jc w:val="both"/>
      </w:pPr>
      <w:r>
        <w:rPr>
          <w:rFonts w:ascii="Tahoma" w:cs="Tahoma" w:eastAsia="Tahoma" w:hAnsi="Tahoma"/>
          <w:sz w:val="20"/>
          <w:szCs w:val="20"/>
        </w:rPr>
        <w:t xml:space="preserve">Training Records &amp; Daily Task Briefing</w:t>
      </w:r>
    </w:p>
    <w:p>
      <w:pPr>
        <w:pStyle w:val="ListParagraph"/>
        <w:numPr>
          <w:ilvl w:val="0"/>
          <w:numId w:val="2"/>
        </w:numPr>
        <w:spacing w:after="60" w:line="268"/>
        <w:jc w:val="both"/>
      </w:pPr>
      <w:r>
        <w:rPr>
          <w:rFonts w:ascii="Tahoma" w:cs="Tahoma" w:eastAsia="Tahoma" w:hAnsi="Tahoma"/>
          <w:sz w:val="20"/>
          <w:szCs w:val="20"/>
        </w:rPr>
        <w:t xml:space="preserve">Workplace Inspection record</w:t>
      </w:r>
    </w:p>
    <w:p>
      <w:pPr>
        <w:pStyle w:val="ListParagraph"/>
        <w:numPr>
          <w:ilvl w:val="0"/>
          <w:numId w:val="2"/>
        </w:numPr>
        <w:spacing w:after="60" w:line="268"/>
        <w:jc w:val="both"/>
      </w:pPr>
      <w:r>
        <w:rPr>
          <w:rFonts w:ascii="Tahoma" w:cs="Tahoma" w:eastAsia="Tahoma" w:hAnsi="Tahoma"/>
          <w:sz w:val="20"/>
          <w:szCs w:val="20"/>
        </w:rPr>
        <w:t xml:space="preserve">Tools &amp; Equipment Inspection Record</w:t>
      </w:r>
    </w:p>
    <w:p>
      <w:pPr>
        <w:pStyle w:val="ListParagraph"/>
        <w:numPr>
          <w:ilvl w:val="0"/>
          <w:numId w:val="2"/>
        </w:numPr>
        <w:spacing w:after="60" w:line="268"/>
        <w:jc w:val="both"/>
      </w:pPr>
      <w:r>
        <w:rPr>
          <w:rFonts w:ascii="Tahoma" w:cs="Tahoma" w:eastAsia="Tahoma" w:hAnsi="Tahoma"/>
          <w:sz w:val="20"/>
          <w:szCs w:val="20"/>
        </w:rPr>
        <w:t xml:space="preserve">Pre-Task Checklist Record</w:t>
      </w:r>
    </w:p>
    <w:p>
      <w:pPr>
        <w:pStyle w:val="Heading1"/>
      </w:pPr>
      <w:bookmarkStart w:id="9006" w:name="_DanToc9006"/>
      <w:r>
        <w:t xml:space="preserve">Revision History</w:t>
      </w:r>
      <w:bookmarkEnd w:id="900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(01-000001-000000-DAN-HSE-MNR-{seq}).</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Working Above or Adjacent to Water</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01-000001-000000-DAN-HSE-MNR-000023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Above or Adjacent to Water</dc:title>
  <dc:creator>DAN HSSE Management System</dc:creator>
  <cp:lastModifiedBy>Un-named</cp:lastModifiedBy>
  <cp:revision>1</cp:revision>
  <dcterms:created xsi:type="dcterms:W3CDTF">2026-09-01T08:51:18.865Z</dcterms:created>
  <dcterms:modified xsi:type="dcterms:W3CDTF">2026-09-01T08:51:18.865Z</dcterms:modified>
</cp:coreProperties>
</file>

<file path=docProps/custom.xml><?xml version="1.0" encoding="utf-8"?>
<Properties xmlns="http://schemas.openxmlformats.org/officeDocument/2006/custom-properties" xmlns:vt="http://schemas.openxmlformats.org/officeDocument/2006/docPropsVTypes"/>
</file>