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Sustainability and Environment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01-000001-000000-DAN-HSE-MNR-000029</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360"/>
          </w:pPr>
          <w:hyperlink w:anchor="_DanToc9000" w:history="1">
            <w:r>
              <w:rPr>
                <w:rFonts w:ascii="Tahoma" w:hAnsi="Tahoma" w:cs="Tahoma"/>
                <w:color w:val="444444"/>
                <w:sz w:val="19"/>
              </w:rPr>
              <w:t xml:space="preserve">Purpose</w:t>
            </w:r>
          </w:hyperlink>
        </w:p>
        <w:p>
          <w:pPr>
            <w:spacing w:after="40" w:line="259"/>
            <w:ind w:left="360"/>
          </w:pPr>
          <w:hyperlink w:anchor="_DanToc9001" w:history="1">
            <w:r>
              <w:rPr>
                <w:rFonts w:ascii="Tahoma" w:hAnsi="Tahoma" w:cs="Tahoma"/>
                <w:color w:val="444444"/>
                <w:sz w:val="19"/>
              </w:rPr>
              <w:t xml:space="preserve">Scope</w:t>
            </w:r>
          </w:hyperlink>
        </w:p>
        <w:p>
          <w:pPr>
            <w:spacing w:after="40" w:line="259"/>
            <w:ind w:left="360"/>
          </w:pPr>
          <w:hyperlink w:anchor="_DanToc9002" w:history="1">
            <w:r>
              <w:rPr>
                <w:rFonts w:ascii="Tahoma" w:hAnsi="Tahoma" w:cs="Tahoma"/>
                <w:color w:val="444444"/>
                <w:sz w:val="19"/>
              </w:rPr>
              <w:t xml:space="preserve">Definitions</w:t>
            </w:r>
          </w:hyperlink>
        </w:p>
        <w:p>
          <w:pPr>
            <w:spacing w:after="40" w:line="259"/>
            <w:ind w:left="360"/>
          </w:pPr>
          <w:hyperlink w:anchor="_DanToc9003" w:history="1">
            <w:r>
              <w:rPr>
                <w:rFonts w:ascii="Tahoma" w:hAnsi="Tahoma" w:cs="Tahoma"/>
                <w:color w:val="444444"/>
                <w:sz w:val="19"/>
              </w:rPr>
              <w:t xml:space="preserve">Standards</w:t>
            </w:r>
          </w:hyperlink>
        </w:p>
        <w:p>
          <w:pPr>
            <w:spacing w:after="40" w:line="259"/>
            <w:ind w:left="360"/>
          </w:pPr>
          <w:hyperlink w:anchor="_DanToc9004" w:history="1">
            <w:r>
              <w:rPr>
                <w:rFonts w:ascii="Tahoma" w:hAnsi="Tahoma" w:cs="Tahoma"/>
                <w:color w:val="444444"/>
                <w:sz w:val="19"/>
              </w:rPr>
              <w:t xml:space="preserve">Tools and References</w:t>
            </w:r>
          </w:hyperlink>
        </w:p>
        <w:p>
          <w:pPr>
            <w:spacing w:after="40" w:line="259"/>
            <w:ind w:left="0"/>
          </w:pPr>
          <w:hyperlink w:anchor="_DanToc9005" w:history="1">
            <w:r>
              <w:rPr>
                <w:rFonts w:ascii="Tahoma" w:hAnsi="Tahoma" w:cs="Tahoma"/>
                <w:b/>
                <w:color w:val="542A12"/>
                <w:sz w:val="20"/>
              </w:rPr>
              <w:t xml:space="preserve">General Requirements</w:t>
            </w:r>
          </w:hyperlink>
        </w:p>
        <w:p>
          <w:pPr>
            <w:spacing w:after="40" w:line="259"/>
            <w:ind w:left="0"/>
          </w:pPr>
          <w:hyperlink w:anchor="_DanToc9006" w:history="1">
            <w:r>
              <w:rPr>
                <w:rFonts w:ascii="Tahoma" w:hAnsi="Tahoma" w:cs="Tahoma"/>
                <w:b/>
                <w:color w:val="542A12"/>
                <w:sz w:val="20"/>
              </w:rPr>
              <w:t xml:space="preserve">Sustainability</w:t>
            </w:r>
          </w:hyperlink>
        </w:p>
        <w:p>
          <w:pPr>
            <w:spacing w:after="40" w:line="259"/>
            <w:ind w:left="0"/>
          </w:pPr>
          <w:hyperlink w:anchor="_DanToc9007" w:history="1">
            <w:r>
              <w:rPr>
                <w:rFonts w:ascii="Tahoma" w:hAnsi="Tahoma" w:cs="Tahoma"/>
                <w:b/>
                <w:color w:val="542A12"/>
                <w:sz w:val="20"/>
              </w:rPr>
              <w:t xml:space="preserve">Environment</w:t>
            </w:r>
          </w:hyperlink>
        </w:p>
        <w:p>
          <w:pPr>
            <w:spacing w:after="40" w:line="259"/>
            <w:ind w:left="360"/>
          </w:pPr>
          <w:hyperlink w:anchor="_DanToc9008" w:history="1">
            <w:r>
              <w:rPr>
                <w:rFonts w:ascii="Tahoma" w:hAnsi="Tahoma" w:cs="Tahoma"/>
                <w:color w:val="444444"/>
                <w:sz w:val="19"/>
              </w:rPr>
              <w:t xml:space="preserve">Records and evidence</w:t>
            </w:r>
          </w:hyperlink>
        </w:p>
        <w:p>
          <w:pPr>
            <w:spacing w:after="40" w:line="259"/>
            <w:ind w:left="0"/>
          </w:pPr>
          <w:hyperlink w:anchor="_DanToc9009" w:history="1">
            <w:r>
              <w:rPr>
                <w:rFonts w:ascii="Tahoma" w:hAnsi="Tahoma" w:cs="Tahoma"/>
                <w:b/>
                <w:color w:val="542A12"/>
                <w:sz w:val="20"/>
              </w:rPr>
              <w:t xml:space="preserve">Revision History</w:t>
            </w:r>
          </w:hyperlink>
        </w:p>
        <w:p>
          <w:r>
            <w:fldChar w:fldCharType="end"/>
          </w:r>
        </w:p>
      </w:sdtContent>
    </w:sdt>
    <w:p>
      <w:r>
        <w:br w:type="page"/>
      </w:r>
    </w:p>
    <w:p>
      <w:pPr>
        <w:pStyle w:val="Heading2"/>
      </w:pPr>
      <w:bookmarkStart w:id="9000" w:name="_DanToc9000"/>
      <w:r>
        <w:t xml:space="preserve">Purpose</w:t>
      </w:r>
      <w:bookmarkEnd w:id="9000"/>
    </w:p>
    <w:p>
      <w:pPr>
        <w:spacing w:after="120" w:line="276"/>
        <w:jc w:val="both"/>
      </w:pPr>
      <w:r>
        <w:rPr>
          <w:rFonts w:ascii="Tahoma" w:cs="Tahoma" w:eastAsia="Tahoma" w:hAnsi="Tahoma"/>
          <w:sz w:val="20"/>
          <w:szCs w:val="20"/>
        </w:rPr>
        <w:t xml:space="preserve">The district development guidelines reflect the sustainable design requirements to achieve the project LEED Cities &amp; Communities Gold certification (version 4.1) and Mostadam for Communities’ Gold certification for DAN. This guideline should be read in conjunction with the LEED and Mostadam reference manual and requires the contractor’s compliance with the LEED and Mostadam Strategies and Scorecards created for each project.</w:t>
      </w:r>
    </w:p>
    <w:p>
      <w:pPr>
        <w:pStyle w:val="Heading2"/>
      </w:pPr>
      <w:bookmarkStart w:id="9001" w:name="_DanToc9001"/>
      <w:r>
        <w:t xml:space="preserve">Scope</w:t>
      </w:r>
      <w:bookmarkEnd w:id="9001"/>
    </w:p>
    <w:p>
      <w:pPr>
        <w:spacing w:after="120" w:line="276"/>
        <w:jc w:val="both"/>
      </w:pPr>
      <w:r>
        <w:rPr>
          <w:rFonts w:ascii="Tahoma" w:cs="Tahoma" w:eastAsia="Tahoma" w:hAnsi="Tahoma"/>
          <w:sz w:val="20"/>
          <w:szCs w:val="20"/>
        </w:rPr>
        <w:t xml:space="preserve">This charter health and safety minimum requirement applies to all parties’ personnel working within DAN Company Projects or undertaking DAN controlled Work. All projects are required to comply with the statutory environmental requirements of the Kingdom of Saudi Arabia (KSA), the competent authority for the issuance of environmental approvals and permits for projects, as well as specific construction activities, is the National Centre for Environmental Compliance (NCEC).</w:t>
      </w:r>
    </w:p>
    <w:p>
      <w:pPr>
        <w:pStyle w:val="Heading2"/>
      </w:pPr>
      <w:bookmarkStart w:id="9002" w:name="_DanToc9002"/>
      <w:r>
        <w:t xml:space="preserve">Definitions</w:t>
      </w:r>
      <w:bookmarkEnd w:id="9002"/>
    </w:p>
    <w:p>
      <w:pPr>
        <w:pStyle w:val="ListParagraph"/>
        <w:numPr>
          <w:ilvl w:val="0"/>
          <w:numId w:val="2"/>
        </w:numPr>
        <w:spacing w:after="60" w:line="268"/>
        <w:jc w:val="both"/>
      </w:pPr>
      <w:r>
        <w:rPr>
          <w:rFonts w:ascii="Tahoma" w:cs="Tahoma" w:eastAsia="Tahoma" w:hAnsi="Tahoma"/>
          <w:sz w:val="20"/>
          <w:szCs w:val="20"/>
        </w:rPr>
        <w:t xml:space="preserve">DAN DAN Company - Client</w:t>
      </w:r>
    </w:p>
    <w:p>
      <w:pPr>
        <w:pStyle w:val="Heading2"/>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H&amp;S Manual, HSE Management Procedures, and Minimum HSE Requirements.</w:t>
      </w:r>
    </w:p>
    <w:p>
      <w:pPr>
        <w:pStyle w:val="Heading2"/>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Additional legal requirements may be detailed in approvals or permits issued by other applicable competent authorities including, but not limited to, the following:</w:t>
      </w:r>
    </w:p>
    <w:p>
      <w:pPr>
        <w:pStyle w:val="ListParagraph"/>
        <w:numPr>
          <w:ilvl w:val="0"/>
          <w:numId w:val="2"/>
        </w:numPr>
        <w:spacing w:after="60" w:line="268"/>
        <w:jc w:val="both"/>
      </w:pPr>
      <w:r>
        <w:rPr>
          <w:rFonts w:ascii="Tahoma" w:cs="Tahoma" w:eastAsia="Tahoma" w:hAnsi="Tahoma"/>
          <w:sz w:val="20"/>
          <w:szCs w:val="20"/>
        </w:rPr>
        <w:t xml:space="preserve">Ministry of Industry and Mineral Resources (MIM)</w:t>
      </w:r>
    </w:p>
    <w:p>
      <w:pPr>
        <w:pStyle w:val="ListParagraph"/>
        <w:numPr>
          <w:ilvl w:val="0"/>
          <w:numId w:val="2"/>
        </w:numPr>
        <w:spacing w:after="60" w:line="268"/>
        <w:jc w:val="both"/>
      </w:pPr>
      <w:r>
        <w:rPr>
          <w:rFonts w:ascii="Tahoma" w:cs="Tahoma" w:eastAsia="Tahoma" w:hAnsi="Tahoma"/>
          <w:sz w:val="20"/>
          <w:szCs w:val="20"/>
        </w:rPr>
        <w:t xml:space="preserve">Saudi Commission for Tourism and National Heritage (SCTH)</w:t>
      </w:r>
    </w:p>
    <w:p>
      <w:pPr>
        <w:pStyle w:val="ListParagraph"/>
        <w:numPr>
          <w:ilvl w:val="0"/>
          <w:numId w:val="2"/>
        </w:numPr>
        <w:spacing w:after="60" w:line="268"/>
        <w:jc w:val="both"/>
      </w:pPr>
      <w:r>
        <w:rPr>
          <w:rFonts w:ascii="Tahoma" w:cs="Tahoma" w:eastAsia="Tahoma" w:hAnsi="Tahoma"/>
          <w:sz w:val="20"/>
          <w:szCs w:val="20"/>
        </w:rPr>
        <w:t xml:space="preserve">National Center for Wildlife</w:t>
      </w:r>
    </w:p>
    <w:p>
      <w:pPr>
        <w:pStyle w:val="ListParagraph"/>
        <w:numPr>
          <w:ilvl w:val="0"/>
          <w:numId w:val="2"/>
        </w:numPr>
        <w:spacing w:after="60" w:line="268"/>
        <w:jc w:val="both"/>
      </w:pPr>
      <w:r>
        <w:rPr>
          <w:rFonts w:ascii="Tahoma" w:cs="Tahoma" w:eastAsia="Tahoma" w:hAnsi="Tahoma"/>
          <w:sz w:val="20"/>
          <w:szCs w:val="20"/>
        </w:rPr>
        <w:t xml:space="preserve">Royal commission for Riyadh City (RCRC)</w:t>
      </w:r>
    </w:p>
    <w:p>
      <w:pPr>
        <w:pStyle w:val="ListParagraph"/>
        <w:numPr>
          <w:ilvl w:val="0"/>
          <w:numId w:val="2"/>
        </w:numPr>
        <w:spacing w:after="60" w:line="268"/>
        <w:jc w:val="both"/>
      </w:pPr>
      <w:r>
        <w:rPr>
          <w:rFonts w:ascii="Tahoma" w:cs="Tahoma" w:eastAsia="Tahoma" w:hAnsi="Tahoma"/>
          <w:sz w:val="20"/>
          <w:szCs w:val="20"/>
        </w:rPr>
        <w:t xml:space="preserve">DAN’s Urban Planning and Municipal Affairs Department (UMA)</w:t>
      </w:r>
    </w:p>
    <w:p>
      <w:pPr>
        <w:pStyle w:val="Heading1"/>
      </w:pPr>
      <w:bookmarkStart w:id="9005" w:name="_DanToc9005"/>
      <w:r>
        <w:t xml:space="preserve">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This document should be read in conjunction with NCEC regulations, the project’s environmental permit, the project’s Environmental Impact Assessment (EIA), and the Overarching Construction Environmental Management Plan (OCEMP).</w:t>
      </w:r>
    </w:p>
    <w:p>
      <w:pPr>
        <w:pStyle w:val="ListParagraph"/>
        <w:numPr>
          <w:ilvl w:val="0"/>
          <w:numId w:val="2"/>
        </w:numPr>
        <w:spacing w:after="60" w:line="268"/>
        <w:jc w:val="both"/>
      </w:pPr>
      <w:r>
        <w:rPr>
          <w:rFonts w:ascii="Tahoma" w:cs="Tahoma" w:eastAsia="Tahoma" w:hAnsi="Tahoma"/>
          <w:sz w:val="20"/>
          <w:szCs w:val="20"/>
        </w:rPr>
        <w:t xml:space="preserve">Prior to the site activities, contractors shall attend the environment and sustainability induction.</w:t>
      </w:r>
    </w:p>
    <w:p>
      <w:pPr>
        <w:pStyle w:val="Heading1"/>
      </w:pPr>
      <w:bookmarkStart w:id="9006" w:name="_DanToc9006"/>
      <w:r>
        <w:t xml:space="preserve">Sustainability</w:t>
      </w:r>
      <w:bookmarkEnd w:id="9006"/>
    </w:p>
    <w:p>
      <w:pPr>
        <w:keepNext/>
        <w:spacing w:after="80" w:before="160"/>
      </w:pPr>
      <w:r>
        <w:rPr>
          <w:rFonts w:ascii="Tahoma" w:cs="Tahoma" w:eastAsia="Tahoma" w:hAnsi="Tahoma"/>
          <w:b/>
          <w:bCs/>
          <w:color w:val="B5692B"/>
          <w:sz w:val="20"/>
          <w:szCs w:val="20"/>
        </w:rPr>
        <w:t xml:space="preserve">Construction Activity Pollution Prevention</w:t>
      </w:r>
    </w:p>
    <w:p>
      <w:pPr>
        <w:spacing w:after="120" w:line="276"/>
        <w:jc w:val="both"/>
      </w:pPr>
      <w:r>
        <w:rPr>
          <w:rFonts w:ascii="Tahoma" w:cs="Tahoma" w:eastAsia="Tahoma" w:hAnsi="Tahoma"/>
          <w:sz w:val="20"/>
          <w:szCs w:val="20"/>
        </w:rPr>
        <w:t xml:space="preserve">Create and implement an Erosion and Sedimentation Control Plan (ESCP) for all construction activities. The plan must conform to the erosion and sedimentation requirements of the 2017 U.S. Environmental Protection Agency (EPA) Construction General Permit (CGP) or local equivalent, whichever is more stringent. The plans should at least contain the following topics, as applicable:</w:t>
      </w:r>
    </w:p>
    <w:p>
      <w:pPr>
        <w:pStyle w:val="ListParagraph"/>
        <w:numPr>
          <w:ilvl w:val="0"/>
          <w:numId w:val="2"/>
        </w:numPr>
        <w:spacing w:after="60" w:line="268"/>
        <w:jc w:val="both"/>
      </w:pPr>
      <w:r>
        <w:rPr>
          <w:rFonts w:ascii="Tahoma" w:cs="Tahoma" w:eastAsia="Tahoma" w:hAnsi="Tahoma"/>
          <w:sz w:val="20"/>
          <w:szCs w:val="20"/>
        </w:rPr>
        <w:t xml:space="preserve">Erosion and sedimentation</w:t>
      </w:r>
    </w:p>
    <w:p>
      <w:pPr>
        <w:pStyle w:val="ListParagraph"/>
        <w:numPr>
          <w:ilvl w:val="0"/>
          <w:numId w:val="2"/>
        </w:numPr>
        <w:spacing w:after="60" w:line="268"/>
        <w:jc w:val="both"/>
      </w:pPr>
      <w:r>
        <w:rPr>
          <w:rFonts w:ascii="Tahoma" w:cs="Tahoma" w:eastAsia="Tahoma" w:hAnsi="Tahoma"/>
          <w:sz w:val="20"/>
          <w:szCs w:val="20"/>
        </w:rPr>
        <w:t xml:space="preserve">Stabilisation</w:t>
      </w:r>
    </w:p>
    <w:p>
      <w:pPr>
        <w:pStyle w:val="ListParagraph"/>
        <w:numPr>
          <w:ilvl w:val="0"/>
          <w:numId w:val="2"/>
        </w:numPr>
        <w:spacing w:after="60" w:line="268"/>
        <w:jc w:val="both"/>
      </w:pPr>
      <w:r>
        <w:rPr>
          <w:rFonts w:ascii="Tahoma" w:cs="Tahoma" w:eastAsia="Tahoma" w:hAnsi="Tahoma"/>
          <w:sz w:val="20"/>
          <w:szCs w:val="20"/>
        </w:rPr>
        <w:t xml:space="preserve">Pollution prevention</w:t>
      </w:r>
    </w:p>
    <w:p>
      <w:pPr>
        <w:pStyle w:val="ListParagraph"/>
        <w:numPr>
          <w:ilvl w:val="0"/>
          <w:numId w:val="2"/>
        </w:numPr>
        <w:spacing w:after="60" w:line="268"/>
        <w:jc w:val="both"/>
      </w:pPr>
      <w:r>
        <w:rPr>
          <w:rFonts w:ascii="Tahoma" w:cs="Tahoma" w:eastAsia="Tahoma" w:hAnsi="Tahoma"/>
          <w:sz w:val="20"/>
          <w:szCs w:val="20"/>
        </w:rPr>
        <w:t xml:space="preserve">Monthly reporting (projects within DG1 and Wadi Hanifah shall report through the project online platform, Greenport).</w:t>
      </w:r>
    </w:p>
    <w:p>
      <w:pPr>
        <w:keepNext/>
        <w:spacing w:after="80" w:before="160"/>
      </w:pPr>
      <w:r>
        <w:rPr>
          <w:rFonts w:ascii="Tahoma" w:cs="Tahoma" w:eastAsia="Tahoma" w:hAnsi="Tahoma"/>
          <w:b/>
          <w:bCs/>
          <w:color w:val="B5692B"/>
          <w:sz w:val="20"/>
          <w:szCs w:val="20"/>
        </w:rPr>
        <w:t xml:space="preserve">Site Waste Management</w:t>
      </w:r>
    </w:p>
    <w:p>
      <w:pPr>
        <w:spacing w:after="120" w:line="276"/>
        <w:jc w:val="both"/>
      </w:pPr>
      <w:r>
        <w:rPr>
          <w:rFonts w:ascii="Tahoma" w:cs="Tahoma" w:eastAsia="Tahoma" w:hAnsi="Tahoma"/>
          <w:sz w:val="20"/>
          <w:szCs w:val="20"/>
        </w:rPr>
        <w:t xml:space="preserve">Develop a detailed construction and demolition (C&amp;D) waste management plan and commit to divert a minimum of 75% of C&amp;D waste from all infrastructure works and construction. The plan must include the following, as applicable:</w:t>
      </w:r>
    </w:p>
    <w:p>
      <w:pPr>
        <w:pStyle w:val="ListParagraph"/>
        <w:numPr>
          <w:ilvl w:val="0"/>
          <w:numId w:val="2"/>
        </w:numPr>
        <w:spacing w:after="60" w:line="268"/>
        <w:jc w:val="both"/>
      </w:pPr>
      <w:r>
        <w:rPr>
          <w:rFonts w:ascii="Tahoma" w:cs="Tahoma" w:eastAsia="Tahoma" w:hAnsi="Tahoma"/>
          <w:sz w:val="20"/>
          <w:szCs w:val="20"/>
        </w:rPr>
        <w:t xml:space="preserve">Contact information and responsible parties</w:t>
      </w:r>
    </w:p>
    <w:p>
      <w:pPr>
        <w:pStyle w:val="ListParagraph"/>
        <w:numPr>
          <w:ilvl w:val="0"/>
          <w:numId w:val="2"/>
        </w:numPr>
        <w:spacing w:after="60" w:line="268"/>
        <w:jc w:val="both"/>
      </w:pPr>
      <w:r>
        <w:rPr>
          <w:rFonts w:ascii="Tahoma" w:cs="Tahoma" w:eastAsia="Tahoma" w:hAnsi="Tahoma"/>
          <w:sz w:val="20"/>
          <w:szCs w:val="20"/>
        </w:rPr>
        <w:t xml:space="preserve">Waste prevention and reduction actions</w:t>
      </w:r>
    </w:p>
    <w:p>
      <w:pPr>
        <w:pStyle w:val="ListParagraph"/>
        <w:numPr>
          <w:ilvl w:val="0"/>
          <w:numId w:val="2"/>
        </w:numPr>
        <w:spacing w:after="60" w:line="268"/>
        <w:jc w:val="both"/>
      </w:pPr>
      <w:r>
        <w:rPr>
          <w:rFonts w:ascii="Tahoma" w:cs="Tahoma" w:eastAsia="Tahoma" w:hAnsi="Tahoma"/>
          <w:sz w:val="20"/>
          <w:szCs w:val="20"/>
        </w:rPr>
        <w:t xml:space="preserve">Waste forecasting</w:t>
      </w:r>
    </w:p>
    <w:p>
      <w:pPr>
        <w:pStyle w:val="ListParagraph"/>
        <w:numPr>
          <w:ilvl w:val="0"/>
          <w:numId w:val="2"/>
        </w:numPr>
        <w:spacing w:after="60" w:line="268"/>
        <w:jc w:val="both"/>
      </w:pPr>
      <w:r>
        <w:rPr>
          <w:rFonts w:ascii="Tahoma" w:cs="Tahoma" w:eastAsia="Tahoma" w:hAnsi="Tahoma"/>
          <w:sz w:val="20"/>
          <w:szCs w:val="20"/>
        </w:rPr>
        <w:t xml:space="preserve">Identify at least five materials (both structural and non-structural) targeted</w:t>
      </w:r>
    </w:p>
    <w:p>
      <w:pPr>
        <w:pStyle w:val="ListParagraph"/>
        <w:numPr>
          <w:ilvl w:val="0"/>
          <w:numId w:val="2"/>
        </w:numPr>
        <w:spacing w:after="60" w:line="268"/>
        <w:jc w:val="both"/>
      </w:pPr>
      <w:r>
        <w:rPr>
          <w:rFonts w:ascii="Tahoma" w:cs="Tahoma" w:eastAsia="Tahoma" w:hAnsi="Tahoma"/>
          <w:sz w:val="20"/>
          <w:szCs w:val="20"/>
        </w:rPr>
        <w:t xml:space="preserve">Approximate a percentage of the overall project waste that these materials represent</w:t>
      </w:r>
    </w:p>
    <w:p>
      <w:pPr>
        <w:pStyle w:val="ListParagraph"/>
        <w:numPr>
          <w:ilvl w:val="0"/>
          <w:numId w:val="2"/>
        </w:numPr>
        <w:spacing w:after="60" w:line="268"/>
        <w:jc w:val="both"/>
      </w:pPr>
      <w:r>
        <w:rPr>
          <w:rFonts w:ascii="Tahoma" w:cs="Tahoma" w:eastAsia="Tahoma" w:hAnsi="Tahoma"/>
          <w:sz w:val="20"/>
          <w:szCs w:val="20"/>
        </w:rPr>
        <w:t xml:space="preserve">Waste management and recovery actions, including but not limited to: a) Waste reduction: purchasing only necessary materials, avoiding double packaging, avoid use of disposable materials, avoid temporary support systems, print double sided and use soft copies b) Waste reuse: reuse packaging material, reuse metal and wood waste, crush, and reuse concrete c) Waste recycling: labelled segregation bins, dedicated waste management team</w:t>
      </w:r>
    </w:p>
    <w:p>
      <w:pPr>
        <w:pStyle w:val="ListParagraph"/>
        <w:numPr>
          <w:ilvl w:val="0"/>
          <w:numId w:val="3"/>
        </w:numPr>
        <w:spacing w:after="40" w:line="264"/>
      </w:pPr>
      <w:r>
        <w:rPr>
          <w:rFonts w:ascii="Tahoma" w:cs="Tahoma" w:eastAsia="Tahoma" w:hAnsi="Tahoma"/>
          <w:sz w:val="18"/>
          <w:szCs w:val="18"/>
        </w:rPr>
        <w:t xml:space="preserve">Waste collection on site: specify whether materials will be separated or commingled and describe the diversion strategies planned for the project</w:t>
      </w:r>
    </w:p>
    <w:p>
      <w:pPr>
        <w:pStyle w:val="ListParagraph"/>
        <w:numPr>
          <w:ilvl w:val="0"/>
          <w:numId w:val="3"/>
        </w:numPr>
        <w:spacing w:after="40" w:line="264"/>
      </w:pPr>
      <w:r>
        <w:rPr>
          <w:rFonts w:ascii="Tahoma" w:cs="Tahoma" w:eastAsia="Tahoma" w:hAnsi="Tahoma"/>
          <w:sz w:val="18"/>
          <w:szCs w:val="18"/>
        </w:rPr>
        <w:t xml:space="preserve">Waste segregation: provide details of bins provided on site and signage</w:t>
      </w:r>
    </w:p>
    <w:p>
      <w:pPr>
        <w:pStyle w:val="ListParagraph"/>
        <w:numPr>
          <w:ilvl w:val="0"/>
          <w:numId w:val="3"/>
        </w:numPr>
        <w:spacing w:after="40" w:line="264"/>
      </w:pPr>
      <w:r>
        <w:rPr>
          <w:rFonts w:ascii="Tahoma" w:cs="Tahoma" w:eastAsia="Tahoma" w:hAnsi="Tahoma"/>
          <w:sz w:val="18"/>
          <w:szCs w:val="18"/>
        </w:rPr>
        <w:t xml:space="preserve">Waste diversion approach: provide location of where material will be taken and how the recycling facility will process the material</w:t>
      </w:r>
    </w:p>
    <w:p>
      <w:pPr>
        <w:pStyle w:val="ListParagraph"/>
        <w:numPr>
          <w:ilvl w:val="0"/>
          <w:numId w:val="3"/>
        </w:numPr>
        <w:spacing w:after="40" w:line="264"/>
      </w:pPr>
      <w:r>
        <w:rPr>
          <w:rFonts w:ascii="Tahoma" w:cs="Tahoma" w:eastAsia="Tahoma" w:hAnsi="Tahoma"/>
          <w:sz w:val="18"/>
          <w:szCs w:val="18"/>
        </w:rPr>
        <w:t xml:space="preserve">Monitoring and tracking:</w:t>
      </w:r>
    </w:p>
    <w:p>
      <w:pPr>
        <w:pStyle w:val="ListParagraph"/>
        <w:numPr>
          <w:ilvl w:val="0"/>
          <w:numId w:val="3"/>
        </w:numPr>
        <w:spacing w:after="40" w:line="264"/>
      </w:pPr>
      <w:r>
        <w:rPr>
          <w:rFonts w:ascii="Tahoma" w:cs="Tahoma" w:eastAsia="Tahoma" w:hAnsi="Tahoma"/>
          <w:sz w:val="18"/>
          <w:szCs w:val="18"/>
        </w:rPr>
        <w:t xml:space="preserve">Including monthly waste diversion by category and report through Greenport</w:t>
      </w:r>
    </w:p>
    <w:p>
      <w:pPr>
        <w:pStyle w:val="ListParagraph"/>
        <w:numPr>
          <w:ilvl w:val="0"/>
          <w:numId w:val="3"/>
        </w:numPr>
        <w:spacing w:after="40" w:line="264"/>
      </w:pPr>
      <w:r>
        <w:rPr>
          <w:rFonts w:ascii="Tahoma" w:cs="Tahoma" w:eastAsia="Tahoma" w:hAnsi="Tahoma"/>
          <w:sz w:val="18"/>
          <w:szCs w:val="18"/>
        </w:rPr>
        <w:t xml:space="preserve">Receipts from waste haulers</w:t>
      </w:r>
    </w:p>
    <w:p>
      <w:pPr>
        <w:keepNext/>
        <w:spacing w:after="80" w:before="160"/>
      </w:pPr>
      <w:r>
        <w:rPr>
          <w:rFonts w:ascii="Tahoma" w:cs="Tahoma" w:eastAsia="Tahoma" w:hAnsi="Tahoma"/>
          <w:b/>
          <w:bCs/>
          <w:color w:val="B5692B"/>
          <w:sz w:val="20"/>
          <w:szCs w:val="20"/>
        </w:rPr>
        <w:t xml:space="preserve">Sustainable Materials</w:t>
      </w:r>
    </w:p>
    <w:p>
      <w:pPr>
        <w:spacing w:after="120" w:line="276"/>
        <w:jc w:val="both"/>
      </w:pPr>
      <w:r>
        <w:rPr>
          <w:rFonts w:ascii="Tahoma" w:cs="Tahoma" w:eastAsia="Tahoma" w:hAnsi="Tahoma"/>
          <w:sz w:val="20"/>
          <w:szCs w:val="20"/>
        </w:rPr>
        <w:t xml:space="preserve">Applicability: Section 3.0 is applicable to public realm areas only; this includes public realm within super-plots.</w:t>
      </w:r>
    </w:p>
    <w:p>
      <w:pPr>
        <w:pStyle w:val="ListParagraph"/>
        <w:numPr>
          <w:ilvl w:val="0"/>
          <w:numId w:val="2"/>
        </w:numPr>
        <w:spacing w:after="60" w:line="268"/>
        <w:jc w:val="both"/>
      </w:pPr>
      <w:r>
        <w:rPr>
          <w:rFonts w:ascii="Tahoma" w:cs="Tahoma" w:eastAsia="Tahoma" w:hAnsi="Tahoma"/>
          <w:sz w:val="20"/>
          <w:szCs w:val="20"/>
        </w:rPr>
        <w:t xml:space="preserve">Infrastructure Materials:</w:t>
      </w:r>
    </w:p>
    <w:p>
      <w:pPr>
        <w:pStyle w:val="ListParagraph"/>
        <w:numPr>
          <w:ilvl w:val="0"/>
          <w:numId w:val="3"/>
        </w:numPr>
        <w:spacing w:after="40" w:line="264"/>
      </w:pPr>
      <w:r>
        <w:rPr>
          <w:rFonts w:ascii="Tahoma" w:cs="Tahoma" w:eastAsia="Tahoma" w:hAnsi="Tahoma"/>
          <w:sz w:val="18"/>
          <w:szCs w:val="18"/>
        </w:rPr>
        <w:t xml:space="preserve">Comply with the following criteria for minimum 20% of the total infrastructure material cost for permanently installed top three materials used in infrastructure. Infrastructure includes but is not limited to roads and highways, transits, water supply and wastewater treatment plants, public spaces, and parks.</w:t>
      </w:r>
    </w:p>
    <w:p>
      <w:pPr>
        <w:pStyle w:val="ListParagraph"/>
        <w:numPr>
          <w:ilvl w:val="0"/>
          <w:numId w:val="3"/>
        </w:numPr>
        <w:spacing w:after="40" w:line="264"/>
      </w:pPr>
      <w:r>
        <w:rPr>
          <w:rFonts w:ascii="Tahoma" w:cs="Tahoma" w:eastAsia="Tahoma" w:hAnsi="Tahoma"/>
          <w:sz w:val="18"/>
          <w:szCs w:val="18"/>
        </w:rPr>
        <w:t xml:space="preserve">Leadership extraction practices – recycled content: materials meeting recycled content criteria are valued 100% of their cost for the purpose of credit achievement calculations.</w:t>
      </w:r>
    </w:p>
    <w:p>
      <w:pPr>
        <w:pStyle w:val="ListParagraph"/>
        <w:numPr>
          <w:ilvl w:val="0"/>
          <w:numId w:val="2"/>
        </w:numPr>
        <w:spacing w:after="60" w:line="268"/>
        <w:jc w:val="both"/>
      </w:pPr>
      <w:r>
        <w:rPr>
          <w:rFonts w:ascii="Tahoma" w:cs="Tahoma" w:eastAsia="Tahoma" w:hAnsi="Tahoma"/>
          <w:sz w:val="20"/>
          <w:szCs w:val="20"/>
        </w:rPr>
        <w:t xml:space="preserve">3.2 Concrete and hardscape:</w:t>
      </w:r>
    </w:p>
    <w:p>
      <w:pPr>
        <w:pStyle w:val="ListParagraph"/>
        <w:numPr>
          <w:ilvl w:val="0"/>
          <w:numId w:val="3"/>
        </w:numPr>
        <w:spacing w:after="40" w:line="264"/>
      </w:pPr>
      <w:r>
        <w:rPr>
          <w:rFonts w:ascii="Tahoma" w:cs="Tahoma" w:eastAsia="Tahoma" w:hAnsi="Tahoma"/>
          <w:sz w:val="18"/>
          <w:szCs w:val="18"/>
        </w:rPr>
        <w:t xml:space="preserve">At least 50% (by volume) of all aggregates used within the public realm are recycled aggregates.</w:t>
      </w:r>
    </w:p>
    <w:p>
      <w:pPr>
        <w:pStyle w:val="ListParagraph"/>
        <w:numPr>
          <w:ilvl w:val="0"/>
          <w:numId w:val="2"/>
        </w:numPr>
        <w:spacing w:after="60" w:line="268"/>
        <w:jc w:val="both"/>
      </w:pPr>
      <w:r>
        <w:rPr>
          <w:rFonts w:ascii="Tahoma" w:cs="Tahoma" w:eastAsia="Tahoma" w:hAnsi="Tahoma"/>
          <w:sz w:val="20"/>
          <w:szCs w:val="20"/>
        </w:rPr>
        <w:t xml:space="preserve">3.3 Regional Materials:</w:t>
      </w:r>
    </w:p>
    <w:p>
      <w:pPr>
        <w:pStyle w:val="ListParagraph"/>
        <w:numPr>
          <w:ilvl w:val="0"/>
          <w:numId w:val="3"/>
        </w:numPr>
        <w:spacing w:after="40" w:line="264"/>
      </w:pPr>
      <w:r>
        <w:rPr>
          <w:rFonts w:ascii="Tahoma" w:cs="Tahoma" w:eastAsia="Tahoma" w:hAnsi="Tahoma"/>
          <w:sz w:val="18"/>
          <w:szCs w:val="18"/>
        </w:rPr>
        <w:t xml:space="preserve">30% of the materials (by cost) used for the construction of public realm are sourced from within KSA.</w:t>
      </w:r>
    </w:p>
    <w:p>
      <w:pPr>
        <w:pStyle w:val="Heading1"/>
      </w:pPr>
      <w:bookmarkStart w:id="9007" w:name="_DanToc9007"/>
      <w:r>
        <w:t xml:space="preserve">Environment</w:t>
      </w:r>
      <w:bookmarkEnd w:id="9007"/>
    </w:p>
    <w:p>
      <w:pPr>
        <w:keepNext/>
        <w:spacing w:after="80" w:before="160"/>
      </w:pPr>
      <w:r>
        <w:rPr>
          <w:rFonts w:ascii="Tahoma" w:cs="Tahoma" w:eastAsia="Tahoma" w:hAnsi="Tahoma"/>
          <w:b/>
          <w:bCs/>
          <w:color w:val="B5692B"/>
          <w:sz w:val="20"/>
          <w:szCs w:val="20"/>
        </w:rPr>
        <w:t xml:space="preserve">Environmental Protection</w:t>
      </w:r>
    </w:p>
    <w:p>
      <w:pPr>
        <w:spacing w:after="120" w:line="276"/>
        <w:jc w:val="both"/>
      </w:pPr>
      <w:r>
        <w:rPr>
          <w:rFonts w:ascii="Tahoma" w:cs="Tahoma" w:eastAsia="Tahoma" w:hAnsi="Tahoma"/>
          <w:sz w:val="20"/>
          <w:szCs w:val="20"/>
        </w:rPr>
        <w:t xml:space="preserve">Based on the DAN Company Development construction activities and associated environmental aspects and potential impacts assessment, each project shall prepare a project-specific Construction Environmental Management Plan (CEMP) to control activities, monitor aspects and minimise environmental impacts. The CEMP shall be revised by the Contractor and reviewed/approved by the PMC periodically to remain applicable to the project’s scope, activities or updated regulatory requirements.</w:t>
      </w:r>
    </w:p>
    <w:p>
      <w:pPr>
        <w:keepNext/>
        <w:spacing w:after="80" w:before="160"/>
      </w:pPr>
      <w:r>
        <w:rPr>
          <w:rFonts w:ascii="Tahoma" w:cs="Tahoma" w:eastAsia="Tahoma" w:hAnsi="Tahoma"/>
          <w:b/>
          <w:bCs/>
          <w:color w:val="B5692B"/>
          <w:sz w:val="20"/>
          <w:szCs w:val="20"/>
        </w:rPr>
        <w:t xml:space="preserve">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The Contractor CEMP shall be prepared and implemented by a suitably qualified and experienced Environment and Sustainability Professional and is to be reviewed and to be approved by the CSC and verified by PMC. The CEMP shall be prepared upon contract award, submitted for review, and approved by the PMC prior to mobilisation to site and initiation of construction activities. The CEMP serves as the primary reference document to ensure compliance with all legal requirements, deliverables, and implementation of environmental best practices. The CEMP shall include, but not be limited to, the following components:</w:t>
      </w:r>
    </w:p>
    <w:p>
      <w:pPr>
        <w:pStyle w:val="ListParagraph"/>
        <w:numPr>
          <w:ilvl w:val="0"/>
          <w:numId w:val="3"/>
        </w:numPr>
        <w:spacing w:after="40" w:line="264"/>
      </w:pPr>
      <w:r>
        <w:rPr>
          <w:rFonts w:ascii="Tahoma" w:cs="Tahoma" w:eastAsia="Tahoma" w:hAnsi="Tahoma"/>
          <w:sz w:val="18"/>
          <w:szCs w:val="18"/>
        </w:rPr>
        <w:t xml:space="preserve">Project description including location, scope of work, construction method statements, environmental permits, etc.</w:t>
      </w:r>
    </w:p>
    <w:p>
      <w:pPr>
        <w:pStyle w:val="ListParagraph"/>
        <w:numPr>
          <w:ilvl w:val="0"/>
          <w:numId w:val="3"/>
        </w:numPr>
        <w:spacing w:after="40" w:line="264"/>
      </w:pPr>
      <w:r>
        <w:rPr>
          <w:rFonts w:ascii="Tahoma" w:cs="Tahoma" w:eastAsia="Tahoma" w:hAnsi="Tahoma"/>
          <w:sz w:val="18"/>
          <w:szCs w:val="18"/>
        </w:rPr>
        <w:t xml:space="preserve">Environmental management including policy, objectives, targets, KPIs, environmental roles and responsibilities and procedures for communication, training and awareness, subcontractors’ selection, management review, etc.</w:t>
      </w:r>
    </w:p>
    <w:p>
      <w:pPr>
        <w:pStyle w:val="ListParagraph"/>
        <w:numPr>
          <w:ilvl w:val="0"/>
          <w:numId w:val="3"/>
        </w:numPr>
        <w:spacing w:after="40" w:line="264"/>
      </w:pPr>
      <w:r>
        <w:rPr>
          <w:rFonts w:ascii="Tahoma" w:cs="Tahoma" w:eastAsia="Tahoma" w:hAnsi="Tahoma"/>
          <w:sz w:val="18"/>
          <w:szCs w:val="18"/>
        </w:rPr>
        <w:t xml:space="preserve">Environmental aspects, impacts and controls for air, surface water and storm water, soil and groundwater, noise and vibration, traffic, water use, material consumption, waste management, carbon emissions, environmental emergencies, etc.</w:t>
      </w:r>
    </w:p>
    <w:p>
      <w:pPr>
        <w:pStyle w:val="ListParagraph"/>
        <w:numPr>
          <w:ilvl w:val="0"/>
          <w:numId w:val="3"/>
        </w:numPr>
        <w:spacing w:after="40" w:line="264"/>
      </w:pPr>
      <w:r>
        <w:rPr>
          <w:rFonts w:ascii="Tahoma" w:cs="Tahoma" w:eastAsia="Tahoma" w:hAnsi="Tahoma"/>
          <w:sz w:val="18"/>
          <w:szCs w:val="18"/>
        </w:rPr>
        <w:t xml:space="preserve">Environmental monitoring and auditing requirements.</w:t>
      </w:r>
    </w:p>
    <w:p>
      <w:pPr>
        <w:pStyle w:val="ListParagraph"/>
        <w:numPr>
          <w:ilvl w:val="0"/>
          <w:numId w:val="3"/>
        </w:numPr>
        <w:spacing w:after="40" w:line="264"/>
      </w:pPr>
      <w:r>
        <w:rPr>
          <w:rFonts w:ascii="Tahoma" w:cs="Tahoma" w:eastAsia="Tahoma" w:hAnsi="Tahoma"/>
          <w:sz w:val="18"/>
          <w:szCs w:val="18"/>
        </w:rPr>
        <w:t xml:space="preserve">Environment completion process at the demobilisation phase.</w:t>
      </w:r>
    </w:p>
    <w:p>
      <w:pPr>
        <w:pStyle w:val="ListParagraph"/>
        <w:numPr>
          <w:ilvl w:val="0"/>
          <w:numId w:val="3"/>
        </w:numPr>
        <w:spacing w:after="40" w:line="264"/>
      </w:pPr>
      <w:r>
        <w:rPr>
          <w:rFonts w:ascii="Tahoma" w:cs="Tahoma" w:eastAsia="Tahoma" w:hAnsi="Tahoma"/>
          <w:sz w:val="18"/>
          <w:szCs w:val="18"/>
        </w:rPr>
        <w:t xml:space="preserve">Attachments such as Legal Register, Aspect/ Impact Register, Permitting and Compliance Register.</w:t>
      </w:r>
    </w:p>
    <w:p>
      <w:pPr>
        <w:pStyle w:val="ListParagraph"/>
        <w:numPr>
          <w:ilvl w:val="0"/>
          <w:numId w:val="3"/>
        </w:numPr>
        <w:spacing w:after="40" w:line="264"/>
      </w:pPr>
      <w:r>
        <w:rPr>
          <w:rFonts w:ascii="Tahoma" w:cs="Tahoma" w:eastAsia="Tahoma" w:hAnsi="Tahoma"/>
          <w:sz w:val="18"/>
          <w:szCs w:val="18"/>
        </w:rPr>
        <w:t xml:space="preserve">The following aspect and activity-specific Environmental Management Plans (EMPs) shall be incorporated in the CEMP:</w:t>
      </w:r>
    </w:p>
    <w:p>
      <w:pPr>
        <w:pStyle w:val="ListParagraph"/>
        <w:numPr>
          <w:ilvl w:val="0"/>
          <w:numId w:val="3"/>
        </w:numPr>
        <w:spacing w:after="40" w:line="264"/>
      </w:pPr>
      <w:r>
        <w:rPr>
          <w:rFonts w:ascii="Tahoma" w:cs="Tahoma" w:eastAsia="Tahoma" w:hAnsi="Tahoma"/>
          <w:sz w:val="18"/>
          <w:szCs w:val="18"/>
        </w:rPr>
        <w:t xml:space="preserve">Noise and Vibration Management Plan.</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To minimise and control adverse impacts from construction related noise and vibration emissions.</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Conduct planned monitoring of noise levels near sensitive receptors.</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NCEC noise and vibration limits and thresholds shall be followed, and appropriate mitigation measures (according to accepted industry standards e.g., noise barriers, rock breaker attachments) implemented to ensure compliance.</w:t>
      </w:r>
    </w:p>
    <w:p>
      <w:pPr>
        <w:pStyle w:val="ListParagraph"/>
        <w:numPr>
          <w:ilvl w:val="0"/>
          <w:numId w:val="3"/>
        </w:numPr>
        <w:spacing w:after="40" w:line="264"/>
      </w:pPr>
      <w:r>
        <w:rPr>
          <w:rFonts w:ascii="Tahoma" w:cs="Tahoma" w:eastAsia="Tahoma" w:hAnsi="Tahoma"/>
          <w:sz w:val="18"/>
          <w:szCs w:val="18"/>
        </w:rPr>
        <w:t xml:space="preserve">Air Quality Management Plan. I. Construction Dust Control Plan:</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Perform onsite measurements of particulate matter throughout the construction phase.</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Isolate dust producing activities and position stockpiles away from sensitive receptors.</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NCEC air quality limits and thresholds shall be followed, and appropriate mitigation measures (according to accepted industry standards e.g., water canon/mister) implemented to ensure compliance. II. Emissions Control Plan:</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Perform onsite measurements of emissions in the air during and throughout construction period.</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Conduct regular maintenance of plant, equipment, and machinery according to the manufacturers’ specifications.</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NCEC limits and thresholds shall be followed, and appropriate mitigation measures implemented to ensure compliance</w:t>
      </w:r>
    </w:p>
    <w:p>
      <w:pPr>
        <w:pStyle w:val="ListParagraph"/>
        <w:numPr>
          <w:ilvl w:val="0"/>
          <w:numId w:val="3"/>
        </w:numPr>
        <w:spacing w:after="40" w:line="264"/>
      </w:pPr>
      <w:r>
        <w:rPr>
          <w:rFonts w:ascii="Tahoma" w:cs="Tahoma" w:eastAsia="Tahoma" w:hAnsi="Tahoma"/>
          <w:sz w:val="18"/>
          <w:szCs w:val="18"/>
        </w:rPr>
        <w:t xml:space="preserve">Construction Waste Management Plan.</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To minimise potential impacts on the environment, namely soil, groundwater, and waste management facilities, arising from the handling, storage, and disposal of waste materials.</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Prevent contamination of soil/ water due to the improper handling, storage and collection of the waste materials generated from the construction works.</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Reduce pressure on local landfill sites.</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Prevent depletion of natural resources.</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Detail waste generation sources, and methods for handling, storage, and disposal.</w:t>
      </w:r>
    </w:p>
    <w:p>
      <w:pPr>
        <w:pStyle w:val="ListParagraph"/>
        <w:numPr>
          <w:ilvl w:val="0"/>
          <w:numId w:val="3"/>
        </w:numPr>
        <w:spacing w:after="40" w:line="264"/>
      </w:pPr>
      <w:r>
        <w:rPr>
          <w:rFonts w:ascii="Tahoma" w:cs="Tahoma" w:eastAsia="Tahoma" w:hAnsi="Tahoma"/>
          <w:sz w:val="18"/>
          <w:szCs w:val="18"/>
        </w:rPr>
        <w:t xml:space="preserve">Soil Management Plan.</w:t>
      </w:r>
    </w:p>
    <w:p>
      <w:pPr>
        <w:pStyle w:val="ListParagraph"/>
        <w:numPr>
          <w:ilvl w:val="0"/>
          <w:numId w:val="3"/>
        </w:numPr>
        <w:spacing w:after="40" w:line="264"/>
      </w:pPr>
      <w:r>
        <w:rPr>
          <w:rFonts w:ascii="Tahoma" w:cs="Tahoma" w:eastAsia="Tahoma" w:hAnsi="Tahoma"/>
          <w:sz w:val="18"/>
          <w:szCs w:val="18"/>
        </w:rPr>
        <w:t xml:space="preserve">Water and Wastewater Management Plan.</w:t>
      </w:r>
    </w:p>
    <w:p>
      <w:pPr>
        <w:pStyle w:val="ListParagraph"/>
        <w:numPr>
          <w:ilvl w:val="0"/>
          <w:numId w:val="3"/>
        </w:numPr>
        <w:spacing w:after="40" w:line="264"/>
      </w:pPr>
      <w:r>
        <w:rPr>
          <w:rFonts w:ascii="Tahoma" w:cs="Tahoma" w:eastAsia="Tahoma" w:hAnsi="Tahoma"/>
          <w:sz w:val="18"/>
          <w:szCs w:val="18"/>
        </w:rPr>
        <w:t xml:space="preserve">Hazardous Substances and Waste Management Plan.</w:t>
      </w:r>
    </w:p>
    <w:p>
      <w:pPr>
        <w:pStyle w:val="ListParagraph"/>
        <w:numPr>
          <w:ilvl w:val="0"/>
          <w:numId w:val="3"/>
        </w:numPr>
        <w:spacing w:after="40" w:line="264"/>
      </w:pPr>
      <w:r>
        <w:rPr>
          <w:rFonts w:ascii="Tahoma" w:cs="Tahoma" w:eastAsia="Tahoma" w:hAnsi="Tahoma"/>
          <w:sz w:val="18"/>
          <w:szCs w:val="18"/>
        </w:rPr>
        <w:t xml:space="preserve">Ecology Management Plan.</w:t>
      </w:r>
    </w:p>
    <w:p>
      <w:pPr>
        <w:pStyle w:val="ListParagraph"/>
        <w:numPr>
          <w:ilvl w:val="0"/>
          <w:numId w:val="3"/>
        </w:numPr>
        <w:spacing w:after="40" w:line="264"/>
      </w:pPr>
      <w:r>
        <w:rPr>
          <w:rFonts w:ascii="Tahoma" w:cs="Tahoma" w:eastAsia="Tahoma" w:hAnsi="Tahoma"/>
          <w:sz w:val="18"/>
          <w:szCs w:val="18"/>
        </w:rPr>
        <w:t xml:space="preserve">Cultural Heritage Management Plan.</w:t>
      </w:r>
    </w:p>
    <w:p>
      <w:pPr>
        <w:pStyle w:val="ListParagraph"/>
        <w:numPr>
          <w:ilvl w:val="0"/>
          <w:numId w:val="3"/>
        </w:numPr>
        <w:spacing w:after="40" w:line="264"/>
      </w:pPr>
      <w:r>
        <w:rPr>
          <w:rFonts w:ascii="Tahoma" w:cs="Tahoma" w:eastAsia="Tahoma" w:hAnsi="Tahoma"/>
          <w:sz w:val="18"/>
          <w:szCs w:val="18"/>
        </w:rPr>
        <w:t xml:space="preserve">Traffic and Transport Management Plan.</w:t>
      </w:r>
    </w:p>
    <w:p>
      <w:pPr>
        <w:pStyle w:val="ListParagraph"/>
        <w:numPr>
          <w:ilvl w:val="0"/>
          <w:numId w:val="3"/>
        </w:numPr>
        <w:spacing w:after="40" w:line="264"/>
      </w:pPr>
      <w:r>
        <w:rPr>
          <w:rFonts w:ascii="Tahoma" w:cs="Tahoma" w:eastAsia="Tahoma" w:hAnsi="Tahoma"/>
          <w:sz w:val="18"/>
          <w:szCs w:val="18"/>
        </w:rPr>
        <w:t xml:space="preserve">Subcontractors Management Plan.</w:t>
      </w:r>
    </w:p>
    <w:p>
      <w:pPr>
        <w:pStyle w:val="ListParagraph"/>
        <w:numPr>
          <w:ilvl w:val="0"/>
          <w:numId w:val="3"/>
        </w:numPr>
        <w:spacing w:after="40" w:line="264"/>
      </w:pPr>
      <w:r>
        <w:rPr>
          <w:rFonts w:ascii="Tahoma" w:cs="Tahoma" w:eastAsia="Tahoma" w:hAnsi="Tahoma"/>
          <w:sz w:val="18"/>
          <w:szCs w:val="18"/>
        </w:rPr>
        <w:t xml:space="preserve">Specific Sustainability Management Plans.</w:t>
      </w:r>
    </w:p>
    <w:p>
      <w:pPr>
        <w:pStyle w:val="ListParagraph"/>
        <w:numPr>
          <w:ilvl w:val="0"/>
          <w:numId w:val="3"/>
        </w:numPr>
        <w:spacing w:after="40" w:line="264"/>
      </w:pPr>
      <w:r>
        <w:rPr>
          <w:rFonts w:ascii="Tahoma" w:cs="Tahoma" w:eastAsia="Tahoma" w:hAnsi="Tahoma"/>
          <w:sz w:val="18"/>
          <w:szCs w:val="18"/>
        </w:rPr>
        <w:t xml:space="preserve">Construction Energy and Water Consumption Reduction Plan: a) Energy (implement at least two of the following four conservation strategies):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Use certified energy efficient generators, fuel efficient transportation methods, renewable energy sources and/or automated lighting controls.</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Workers live within a 25km radius of the construction site and/or transportation requirements are coordinated.</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Controlled operation of temporary air conditioning systems.</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Monitor and record energy &amp; water usage against a pre-determined baseline and implement mitigation measures if consumption levels exceed expected range. b) Water (implement at least two of the following four conservation strategies):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Use water efficient fixtures.</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Create a water conservation strategy that minimises wastage of water through user negligence, inefficient operation and/or leakages.</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Use non potable water for construction processes e.g., secondary treatment and recycling of wastewater for irrigation, dust control, and flushing.</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Limit access of water using equipment to trained users only.</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Monitor and record water usage against a pre-determined baseline and implement mitigation measures if consumption levels exceed expected range.</w:t>
      </w:r>
    </w:p>
    <w:p>
      <w:pPr>
        <w:pStyle w:val="ListParagraph"/>
        <w:numPr>
          <w:ilvl w:val="0"/>
          <w:numId w:val="3"/>
        </w:numPr>
        <w:spacing w:after="40" w:line="264"/>
      </w:pPr>
      <w:r>
        <w:rPr>
          <w:rFonts w:ascii="Tahoma" w:cs="Tahoma" w:eastAsia="Tahoma" w:hAnsi="Tahoma"/>
          <w:sz w:val="18"/>
          <w:szCs w:val="18"/>
        </w:rPr>
        <w:t xml:space="preserve">Construction Materials Transportation and Procurement Plan:</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Include requirement for 30% of the materials (by cost) used for the construction to be sourced from within KSA.</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Include at least 50% (by volume) of all aggregates used are recycled aggregates.</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Include at least 10% (by cost) of all materials to be sourced from one or more of the following: re-used materials (excluding aggregates), reclaimed timber, recycled rubber, and/or recycled steel.</w:t>
      </w:r>
    </w:p>
    <w:p>
      <w:pPr>
        <w:pStyle w:val="ListParagraph"/>
        <w:numPr>
          <w:ilvl w:val="0"/>
          <w:numId w:val="3"/>
        </w:numPr>
        <w:spacing w:after="40" w:line="264"/>
      </w:pPr>
      <w:r>
        <w:rPr>
          <w:rFonts w:ascii="Tahoma" w:cs="Tahoma" w:eastAsia="Tahoma" w:hAnsi="Tahoma"/>
          <w:sz w:val="18"/>
          <w:szCs w:val="18"/>
        </w:rPr>
        <w:t xml:space="preserve">Site Inspection and Audit Plan: Audits should be conducted regularly. The frequency is to be determined by the Contractor based on the total length of construction time and the duration of specific activities which might require more supervision. A report is to be produced following each site inspection / audit. The site inspection / audit report must include:</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Date stamped photographs.</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An update on all priority CEMP plans dust control, noise control, nonhazardous and hazardous waste management and energy and water conservation.</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Responses to observed deviations from the CEMP with mitigation and remediation measures.</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Verification that all mitigation and remediation measures have been implemented. Handling of hazardous and toxic substances on site shall be organised in accordance with local health, safety, and environmental regulations and shall be carried by NCEC-approved subcontractors. It is the Contractor’s responsibility to ensure compliance with all legal requirements and project deliverables.</w:t>
      </w:r>
    </w:p>
    <w:p>
      <w:pPr>
        <w:pStyle w:val="Heading2"/>
      </w:pPr>
      <w:bookmarkStart w:id="9008" w:name="_DanToc9008"/>
      <w:r>
        <w:t xml:space="preserve">Records and evidence</w:t>
      </w:r>
      <w:bookmarkEnd w:id="9008"/>
    </w:p>
    <w:p>
      <w:pPr>
        <w:pStyle w:val="ListParagraph"/>
        <w:numPr>
          <w:ilvl w:val="0"/>
          <w:numId w:val="2"/>
        </w:numPr>
        <w:spacing w:after="60" w:line="268"/>
        <w:jc w:val="both"/>
      </w:pPr>
      <w:r>
        <w:rPr>
          <w:rFonts w:ascii="Tahoma" w:cs="Tahoma" w:eastAsia="Tahoma" w:hAnsi="Tahoma"/>
          <w:sz w:val="20"/>
          <w:szCs w:val="20"/>
        </w:rPr>
        <w:t xml:space="preserve">Approved CEMP plan</w:t>
      </w:r>
    </w:p>
    <w:p>
      <w:pPr>
        <w:pStyle w:val="ListParagraph"/>
        <w:numPr>
          <w:ilvl w:val="0"/>
          <w:numId w:val="2"/>
        </w:numPr>
        <w:spacing w:after="60" w:line="268"/>
        <w:jc w:val="both"/>
      </w:pPr>
      <w:r>
        <w:rPr>
          <w:rFonts w:ascii="Tahoma" w:cs="Tahoma" w:eastAsia="Tahoma" w:hAnsi="Tahoma"/>
          <w:sz w:val="20"/>
          <w:szCs w:val="20"/>
        </w:rPr>
        <w:t xml:space="preserve">Approved project specific Waste Management Procedures</w:t>
      </w:r>
    </w:p>
    <w:p>
      <w:pPr>
        <w:pStyle w:val="ListParagraph"/>
        <w:numPr>
          <w:ilvl w:val="0"/>
          <w:numId w:val="2"/>
        </w:numPr>
        <w:spacing w:after="60" w:line="268"/>
        <w:jc w:val="both"/>
      </w:pPr>
      <w:r>
        <w:rPr>
          <w:rFonts w:ascii="Tahoma" w:cs="Tahoma" w:eastAsia="Tahoma" w:hAnsi="Tahoma"/>
          <w:sz w:val="20"/>
          <w:szCs w:val="20"/>
        </w:rPr>
        <w:t xml:space="preserve">Induction &amp; Daily briefing record</w:t>
      </w:r>
    </w:p>
    <w:p>
      <w:pPr>
        <w:pStyle w:val="ListParagraph"/>
        <w:numPr>
          <w:ilvl w:val="0"/>
          <w:numId w:val="2"/>
        </w:numPr>
        <w:spacing w:after="60" w:line="268"/>
        <w:jc w:val="both"/>
      </w:pPr>
      <w:r>
        <w:rPr>
          <w:rFonts w:ascii="Tahoma" w:cs="Tahoma" w:eastAsia="Tahoma" w:hAnsi="Tahoma"/>
          <w:sz w:val="20"/>
          <w:szCs w:val="20"/>
        </w:rPr>
        <w:t xml:space="preserve">Workplace inspection records</w:t>
      </w:r>
    </w:p>
    <w:p>
      <w:pPr>
        <w:pStyle w:val="ListParagraph"/>
        <w:numPr>
          <w:ilvl w:val="0"/>
          <w:numId w:val="2"/>
        </w:numPr>
        <w:spacing w:after="60" w:line="268"/>
        <w:jc w:val="both"/>
      </w:pPr>
      <w:r>
        <w:rPr>
          <w:rFonts w:ascii="Tahoma" w:cs="Tahoma" w:eastAsia="Tahoma" w:hAnsi="Tahoma"/>
          <w:sz w:val="20"/>
          <w:szCs w:val="20"/>
        </w:rPr>
        <w:t xml:space="preserve">Site Environmental inspection records</w:t>
      </w:r>
    </w:p>
    <w:p>
      <w:pPr>
        <w:pStyle w:val="ListParagraph"/>
        <w:numPr>
          <w:ilvl w:val="0"/>
          <w:numId w:val="2"/>
        </w:numPr>
        <w:spacing w:after="60" w:line="268"/>
        <w:jc w:val="both"/>
      </w:pPr>
      <w:r>
        <w:rPr>
          <w:rFonts w:ascii="Tahoma" w:cs="Tahoma" w:eastAsia="Tahoma" w:hAnsi="Tahoma"/>
          <w:sz w:val="20"/>
          <w:szCs w:val="20"/>
        </w:rPr>
        <w:t xml:space="preserve">PTW</w:t>
      </w:r>
    </w:p>
    <w:p>
      <w:pPr>
        <w:pStyle w:val="ListParagraph"/>
        <w:numPr>
          <w:ilvl w:val="0"/>
          <w:numId w:val="2"/>
        </w:numPr>
        <w:spacing w:after="60" w:line="268"/>
        <w:jc w:val="both"/>
      </w:pPr>
      <w:r>
        <w:rPr>
          <w:rFonts w:ascii="Tahoma" w:cs="Tahoma" w:eastAsia="Tahoma" w:hAnsi="Tahoma"/>
          <w:sz w:val="20"/>
          <w:szCs w:val="20"/>
        </w:rPr>
        <w:t xml:space="preserve">Environmental Incident Records</w:t>
      </w:r>
    </w:p>
    <w:p>
      <w:pPr>
        <w:pStyle w:val="ListParagraph"/>
        <w:numPr>
          <w:ilvl w:val="0"/>
          <w:numId w:val="2"/>
        </w:numPr>
        <w:spacing w:after="60" w:line="268"/>
        <w:jc w:val="both"/>
      </w:pPr>
      <w:r>
        <w:rPr>
          <w:rFonts w:ascii="Tahoma" w:cs="Tahoma" w:eastAsia="Tahoma" w:hAnsi="Tahoma"/>
          <w:sz w:val="20"/>
          <w:szCs w:val="20"/>
        </w:rPr>
        <w:t xml:space="preserve">Environment Impact Assessment</w:t>
      </w:r>
    </w:p>
    <w:p>
      <w:pPr>
        <w:pStyle w:val="Heading1"/>
      </w:pPr>
      <w:bookmarkStart w:id="9009" w:name="_DanToc9009"/>
      <w:r>
        <w:t xml:space="preserve">Revision History</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(01-000001-000000-DAN-HSE-MNR-000029).</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Sustainability and Environment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01-000001-000000-DAN-HSE-MNR-000029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and Environment Requirements</dc:title>
  <dc:creator>DAN HSSE Management System</dc:creator>
  <cp:lastModifiedBy>Un-named</cp:lastModifiedBy>
  <cp:revision>1</cp:revision>
  <dcterms:created xsi:type="dcterms:W3CDTF">2026-09-01T13:35:27.565Z</dcterms:created>
  <dcterms:modified xsi:type="dcterms:W3CDTF">2026-09-01T13:35:27.565Z</dcterms:modified>
</cp:coreProperties>
</file>

<file path=docProps/custom.xml><?xml version="1.0" encoding="utf-8"?>
<Properties xmlns="http://schemas.openxmlformats.org/officeDocument/2006/custom-properties" xmlns:vt="http://schemas.openxmlformats.org/officeDocument/2006/docPropsVTypes"/>
</file>