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HSE Minimum Requirements</w:t>
      </w:r>
    </w:p>
    <w:p>
      <w:pPr>
        <w:spacing w:after="0" w:before="720"/>
      </w:pPr>
      <w:r>
        <w:rPr>
          <w:rFonts w:ascii="Tahoma" w:cs="Tahoma" w:eastAsia="Tahoma" w:hAnsi="Tahoma"/>
          <w:b/>
          <w:bCs/>
          <w:color w:val="542A12"/>
          <w:sz w:val="44"/>
          <w:szCs w:val="44"/>
        </w:rPr>
        <w:t xml:space="preserve">Project HSE Interface Management Requirements</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01-000001-000000-DAN-HSE-MNR-000031</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pPr>
            <w:spacing w:after="40" w:line="259"/>
            <w:ind w:left="360"/>
          </w:pPr>
          <w:hyperlink w:anchor="_DanToc9000" w:history="1">
            <w:r>
              <w:rPr>
                <w:rFonts w:ascii="Tahoma" w:hAnsi="Tahoma" w:cs="Tahoma"/>
                <w:color w:val="444444"/>
                <w:sz w:val="19"/>
              </w:rPr>
              <w:t xml:space="preserve">Purpose</w:t>
            </w:r>
          </w:hyperlink>
        </w:p>
        <w:p>
          <w:pPr>
            <w:spacing w:after="40" w:line="259"/>
            <w:ind w:left="360"/>
          </w:pPr>
          <w:hyperlink w:anchor="_DanToc9001" w:history="1">
            <w:r>
              <w:rPr>
                <w:rFonts w:ascii="Tahoma" w:hAnsi="Tahoma" w:cs="Tahoma"/>
                <w:color w:val="444444"/>
                <w:sz w:val="19"/>
              </w:rPr>
              <w:t xml:space="preserve">Standards</w:t>
            </w:r>
          </w:hyperlink>
        </w:p>
        <w:p>
          <w:pPr>
            <w:spacing w:after="40" w:line="259"/>
            <w:ind w:left="360"/>
          </w:pPr>
          <w:hyperlink w:anchor="_DanToc9002" w:history="1">
            <w:r>
              <w:rPr>
                <w:rFonts w:ascii="Tahoma" w:hAnsi="Tahoma" w:cs="Tahoma"/>
                <w:color w:val="444444"/>
                <w:sz w:val="19"/>
              </w:rPr>
              <w:t xml:space="preserve">Tools and References</w:t>
            </w:r>
          </w:hyperlink>
        </w:p>
        <w:p>
          <w:pPr>
            <w:spacing w:after="40" w:line="259"/>
            <w:ind w:left="360"/>
          </w:pPr>
          <w:hyperlink w:anchor="_DanToc9003" w:history="1">
            <w:r>
              <w:rPr>
                <w:rFonts w:ascii="Tahoma" w:hAnsi="Tahoma" w:cs="Tahoma"/>
                <w:color w:val="444444"/>
                <w:sz w:val="19"/>
              </w:rPr>
              <w:t xml:space="preserve">Scope</w:t>
            </w:r>
          </w:hyperlink>
        </w:p>
        <w:p>
          <w:pPr>
            <w:spacing w:after="40" w:line="259"/>
            <w:ind w:left="360"/>
          </w:pPr>
          <w:hyperlink w:anchor="_DanToc9004" w:history="1">
            <w:r>
              <w:rPr>
                <w:rFonts w:ascii="Tahoma" w:hAnsi="Tahoma" w:cs="Tahoma"/>
                <w:color w:val="444444"/>
                <w:sz w:val="19"/>
              </w:rPr>
              <w:t xml:space="preserve">Procedure</w:t>
            </w:r>
          </w:hyperlink>
        </w:p>
        <w:p>
          <w:pPr>
            <w:spacing w:after="40" w:line="259"/>
            <w:ind w:left="0"/>
          </w:pPr>
          <w:hyperlink w:anchor="_DanToc9005" w:history="1">
            <w:r>
              <w:rPr>
                <w:rFonts w:ascii="Tahoma" w:hAnsi="Tahoma" w:cs="Tahoma"/>
                <w:b/>
                <w:color w:val="542A12"/>
                <w:sz w:val="20"/>
              </w:rPr>
              <w:t xml:space="preserve">Pre-construction:</w:t>
            </w:r>
          </w:hyperlink>
        </w:p>
        <w:p>
          <w:pPr>
            <w:spacing w:after="40" w:line="259"/>
            <w:ind w:left="0"/>
          </w:pPr>
          <w:hyperlink w:anchor="_DanToc9006" w:history="1">
            <w:r>
              <w:rPr>
                <w:rFonts w:ascii="Tahoma" w:hAnsi="Tahoma" w:cs="Tahoma"/>
                <w:b/>
                <w:color w:val="542A12"/>
                <w:sz w:val="20"/>
              </w:rPr>
              <w:t xml:space="preserve">Construction Phase:</w:t>
            </w:r>
          </w:hyperlink>
        </w:p>
        <w:p>
          <w:pPr>
            <w:spacing w:after="40" w:line="259"/>
            <w:ind w:left="0"/>
          </w:pPr>
          <w:hyperlink w:anchor="_DanToc9007" w:history="1">
            <w:r>
              <w:rPr>
                <w:rFonts w:ascii="Tahoma" w:hAnsi="Tahoma" w:cs="Tahoma"/>
                <w:b/>
                <w:color w:val="542A12"/>
                <w:sz w:val="20"/>
              </w:rPr>
              <w:t xml:space="preserve">post-construction:</w:t>
            </w:r>
          </w:hyperlink>
        </w:p>
        <w:p>
          <w:pPr>
            <w:spacing w:after="40" w:line="259"/>
            <w:ind w:left="0"/>
          </w:pPr>
          <w:hyperlink w:anchor="_DanToc9008" w:history="1">
            <w:r>
              <w:rPr>
                <w:rFonts w:ascii="Tahoma" w:hAnsi="Tahoma" w:cs="Tahoma"/>
                <w:b/>
                <w:color w:val="542A12"/>
                <w:sz w:val="20"/>
              </w:rPr>
              <w:t xml:space="preserve">Revision History</w:t>
            </w:r>
          </w:hyperlink>
        </w:p>
        <w:p>
          <w:r>
            <w:fldChar w:fldCharType="end"/>
          </w:r>
        </w:p>
      </w:sdtContent>
    </w:sdt>
    <w:p>
      <w:r>
        <w:br w:type="page"/>
      </w:r>
    </w:p>
    <w:p>
      <w:pPr>
        <w:pStyle w:val="Heading2"/>
      </w:pPr>
      <w:bookmarkStart w:id="9000" w:name="_DanToc9000"/>
      <w:r>
        <w:t xml:space="preserve">Purpose</w:t>
      </w:r>
      <w:bookmarkEnd w:id="9000"/>
    </w:p>
    <w:p>
      <w:pPr>
        <w:spacing w:after="120" w:line="276"/>
        <w:jc w:val="both"/>
      </w:pPr>
      <w:r>
        <w:rPr>
          <w:rFonts w:ascii="Tahoma" w:cs="Tahoma" w:eastAsia="Tahoma" w:hAnsi="Tahoma"/>
          <w:sz w:val="20"/>
          <w:szCs w:val="20"/>
        </w:rPr>
        <w:t xml:space="preserve">This minimum requirement outlines the process for managing Occupational Health and Safety (HSE) interfaces on construction projects, ensuring effective communication, collaboration, and risk mitigation throughout the project lifecycle. It aligns with construction best practices and the requirements of ISO 45001, the international standard for occupational health and safety management systems.</w:t>
      </w:r>
    </w:p>
    <w:p>
      <w:pPr>
        <w:pStyle w:val="Heading2"/>
      </w:pPr>
      <w:bookmarkStart w:id="9001" w:name="_DanToc9001"/>
      <w:r>
        <w:t xml:space="preserve">Standards</w:t>
      </w:r>
      <w:bookmarkEnd w:id="9001"/>
    </w:p>
    <w:p>
      <w:pPr>
        <w:pStyle w:val="ListParagraph"/>
        <w:numPr>
          <w:ilvl w:val="0"/>
          <w:numId w:val="2"/>
        </w:numPr>
        <w:spacing w:after="60" w:line="268"/>
        <w:jc w:val="both"/>
      </w:pPr>
      <w:r>
        <w:rPr>
          <w:rFonts w:ascii="Tahoma" w:cs="Tahoma" w:eastAsia="Tahoma" w:hAnsi="Tahoma"/>
          <w:sz w:val="20"/>
          <w:szCs w:val="20"/>
        </w:rPr>
        <w:t xml:space="preserve">DAN HSE Manual</w:t>
      </w:r>
    </w:p>
    <w:p>
      <w:pPr>
        <w:pStyle w:val="ListParagraph"/>
        <w:numPr>
          <w:ilvl w:val="0"/>
          <w:numId w:val="2"/>
        </w:numPr>
        <w:spacing w:after="60" w:line="268"/>
        <w:jc w:val="both"/>
      </w:pPr>
      <w:r>
        <w:rPr>
          <w:rFonts w:ascii="Tahoma" w:cs="Tahoma" w:eastAsia="Tahoma" w:hAnsi="Tahoma"/>
          <w:sz w:val="20"/>
          <w:szCs w:val="20"/>
        </w:rPr>
        <w:t xml:space="preserve">ISO 45001</w:t>
      </w:r>
    </w:p>
    <w:p>
      <w:pPr>
        <w:pStyle w:val="ListParagraph"/>
        <w:numPr>
          <w:ilvl w:val="0"/>
          <w:numId w:val="2"/>
        </w:numPr>
        <w:spacing w:after="60" w:line="268"/>
        <w:jc w:val="both"/>
      </w:pPr>
      <w:r>
        <w:rPr>
          <w:rFonts w:ascii="Tahoma" w:cs="Tahoma" w:eastAsia="Tahoma" w:hAnsi="Tahoma"/>
          <w:sz w:val="20"/>
          <w:szCs w:val="20"/>
        </w:rPr>
        <w:t xml:space="preserve">DAN Communication and Consultation Procedure</w:t>
      </w:r>
    </w:p>
    <w:p>
      <w:pPr>
        <w:pStyle w:val="Heading2"/>
      </w:pPr>
      <w:bookmarkStart w:id="9002" w:name="_DanToc9002"/>
      <w:r>
        <w:t xml:space="preserve">Tools and References</w:t>
      </w:r>
      <w:bookmarkEnd w:id="9002"/>
    </w:p>
    <w:p>
      <w:pPr>
        <w:pStyle w:val="ListParagraph"/>
        <w:numPr>
          <w:ilvl w:val="0"/>
          <w:numId w:val="2"/>
        </w:numPr>
        <w:spacing w:after="60" w:line="268"/>
        <w:jc w:val="both"/>
      </w:pPr>
      <w:r>
        <w:rPr>
          <w:rFonts w:ascii="Tahoma" w:cs="Tahoma" w:eastAsia="Tahoma" w:hAnsi="Tahoma"/>
          <w:sz w:val="20"/>
          <w:szCs w:val="20"/>
        </w:rPr>
        <w:t xml:space="preserve">Signed and approved project-specific HSE Interface Management Plan</w:t>
      </w:r>
    </w:p>
    <w:p>
      <w:pPr>
        <w:pStyle w:val="Heading2"/>
      </w:pPr>
      <w:bookmarkStart w:id="9003" w:name="_DanToc9003"/>
      <w:r>
        <w:t xml:space="preserve">Scope</w:t>
      </w:r>
      <w:bookmarkEnd w:id="9003"/>
    </w:p>
    <w:p>
      <w:pPr>
        <w:spacing w:after="120" w:line="276"/>
        <w:jc w:val="both"/>
      </w:pPr>
      <w:r>
        <w:rPr>
          <w:rFonts w:ascii="Tahoma" w:cs="Tahoma" w:eastAsia="Tahoma" w:hAnsi="Tahoma"/>
          <w:sz w:val="20"/>
          <w:szCs w:val="20"/>
        </w:rPr>
        <w:t xml:space="preserve">This minimum requirement applies to all construction projects, regardless of size or complexity. It covers interfaces between:</w:t>
      </w:r>
    </w:p>
    <w:p>
      <w:pPr>
        <w:pStyle w:val="ListParagraph"/>
        <w:numPr>
          <w:ilvl w:val="0"/>
          <w:numId w:val="2"/>
        </w:numPr>
        <w:spacing w:after="60" w:line="268"/>
        <w:jc w:val="both"/>
      </w:pPr>
      <w:r>
        <w:rPr>
          <w:rFonts w:ascii="Tahoma" w:cs="Tahoma" w:eastAsia="Tahoma" w:hAnsi="Tahoma"/>
          <w:sz w:val="20"/>
          <w:szCs w:val="20"/>
        </w:rPr>
        <w:t xml:space="preserve">Project Team: Main contractor, subcontractors, designers, consultants, etc.</w:t>
      </w:r>
    </w:p>
    <w:p>
      <w:pPr>
        <w:pStyle w:val="ListParagraph"/>
        <w:numPr>
          <w:ilvl w:val="0"/>
          <w:numId w:val="2"/>
        </w:numPr>
        <w:spacing w:after="60" w:line="268"/>
        <w:jc w:val="both"/>
      </w:pPr>
      <w:r>
        <w:rPr>
          <w:rFonts w:ascii="Tahoma" w:cs="Tahoma" w:eastAsia="Tahoma" w:hAnsi="Tahoma"/>
          <w:sz w:val="20"/>
          <w:szCs w:val="20"/>
        </w:rPr>
        <w:t xml:space="preserve">External Stakeholders: Clients, regulatory authorities, local communities, etc.</w:t>
      </w:r>
    </w:p>
    <w:p>
      <w:pPr>
        <w:pStyle w:val="ListParagraph"/>
        <w:numPr>
          <w:ilvl w:val="0"/>
          <w:numId w:val="2"/>
        </w:numPr>
        <w:spacing w:after="60" w:line="268"/>
        <w:jc w:val="both"/>
      </w:pPr>
      <w:r>
        <w:rPr>
          <w:rFonts w:ascii="Tahoma" w:cs="Tahoma" w:eastAsia="Tahoma" w:hAnsi="Tahoma"/>
          <w:sz w:val="20"/>
          <w:szCs w:val="20"/>
        </w:rPr>
        <w:t xml:space="preserve">Other Projects: Sharing resources, facilities, or workspaces with nearby projects. Each Project shall:</w:t>
      </w:r>
    </w:p>
    <w:p>
      <w:pPr>
        <w:pStyle w:val="ListParagraph"/>
        <w:numPr>
          <w:ilvl w:val="0"/>
          <w:numId w:val="2"/>
        </w:numPr>
        <w:spacing w:after="60" w:line="268"/>
        <w:jc w:val="both"/>
      </w:pPr>
      <w:r>
        <w:rPr>
          <w:rFonts w:ascii="Tahoma" w:cs="Tahoma" w:eastAsia="Tahoma" w:hAnsi="Tahoma"/>
          <w:sz w:val="20"/>
          <w:szCs w:val="20"/>
        </w:rPr>
        <w:t xml:space="preserve">Establish a process for identifying potential HSE interfaces between different project elements, activities, and contractors.</w:t>
      </w:r>
    </w:p>
    <w:p>
      <w:pPr>
        <w:pStyle w:val="ListParagraph"/>
        <w:numPr>
          <w:ilvl w:val="0"/>
          <w:numId w:val="2"/>
        </w:numPr>
        <w:spacing w:after="60" w:line="268"/>
        <w:jc w:val="both"/>
      </w:pPr>
      <w:r>
        <w:rPr>
          <w:rFonts w:ascii="Tahoma" w:cs="Tahoma" w:eastAsia="Tahoma" w:hAnsi="Tahoma"/>
          <w:sz w:val="20"/>
          <w:szCs w:val="20"/>
        </w:rPr>
        <w:t xml:space="preserve">Consider site layout, work schedules, shared work areas, and any other factors contributing to HSE interdependencies. Alignment with ISO 45001: This procedure aligns with the following clauses of ISO 45001:</w:t>
      </w:r>
    </w:p>
    <w:p>
      <w:pPr>
        <w:pStyle w:val="ListParagraph"/>
        <w:numPr>
          <w:ilvl w:val="0"/>
          <w:numId w:val="2"/>
        </w:numPr>
        <w:spacing w:after="60" w:line="268"/>
        <w:jc w:val="both"/>
      </w:pPr>
      <w:r>
        <w:rPr>
          <w:rFonts w:ascii="Tahoma" w:cs="Tahoma" w:eastAsia="Tahoma" w:hAnsi="Tahoma"/>
          <w:sz w:val="20"/>
          <w:szCs w:val="20"/>
        </w:rPr>
        <w:t xml:space="preserve">Clause 4.4: Context of the organization: Considers the external HSE context created by interfaces.</w:t>
      </w:r>
    </w:p>
    <w:p>
      <w:pPr>
        <w:pStyle w:val="ListParagraph"/>
        <w:numPr>
          <w:ilvl w:val="0"/>
          <w:numId w:val="2"/>
        </w:numPr>
        <w:spacing w:after="60" w:line="268"/>
        <w:jc w:val="both"/>
      </w:pPr>
      <w:r>
        <w:rPr>
          <w:rFonts w:ascii="Tahoma" w:cs="Tahoma" w:eastAsia="Tahoma" w:hAnsi="Tahoma"/>
          <w:sz w:val="20"/>
          <w:szCs w:val="20"/>
        </w:rPr>
        <w:t xml:space="preserve">Clause 6.2: Communication: Ensures effective communication and consultation related to interfaces.</w:t>
      </w:r>
    </w:p>
    <w:p>
      <w:pPr>
        <w:pStyle w:val="ListParagraph"/>
        <w:numPr>
          <w:ilvl w:val="0"/>
          <w:numId w:val="2"/>
        </w:numPr>
        <w:spacing w:after="60" w:line="268"/>
        <w:jc w:val="both"/>
      </w:pPr>
      <w:r>
        <w:rPr>
          <w:rFonts w:ascii="Tahoma" w:cs="Tahoma" w:eastAsia="Tahoma" w:hAnsi="Tahoma"/>
          <w:sz w:val="20"/>
          <w:szCs w:val="20"/>
        </w:rPr>
        <w:t xml:space="preserve">Clause 8.1: Operation planning and control: Includes interface management in operational plans and controls.</w:t>
      </w:r>
    </w:p>
    <w:p>
      <w:pPr>
        <w:pStyle w:val="ListParagraph"/>
        <w:numPr>
          <w:ilvl w:val="0"/>
          <w:numId w:val="2"/>
        </w:numPr>
        <w:spacing w:after="60" w:line="268"/>
        <w:jc w:val="both"/>
      </w:pPr>
      <w:r>
        <w:rPr>
          <w:rFonts w:ascii="Tahoma" w:cs="Tahoma" w:eastAsia="Tahoma" w:hAnsi="Tahoma"/>
          <w:sz w:val="20"/>
          <w:szCs w:val="20"/>
        </w:rPr>
        <w:t xml:space="preserve">Clause 10.2: Incident investigation and non-conformance: Investigates and addresses HSE incidents related to interfaces.</w:t>
      </w:r>
    </w:p>
    <w:p>
      <w:pPr>
        <w:pStyle w:val="ListParagraph"/>
        <w:numPr>
          <w:ilvl w:val="0"/>
          <w:numId w:val="2"/>
        </w:numPr>
        <w:spacing w:after="60" w:line="268"/>
        <w:jc w:val="both"/>
      </w:pPr>
      <w:r>
        <w:rPr>
          <w:rFonts w:ascii="Tahoma" w:cs="Tahoma" w:eastAsia="Tahoma" w:hAnsi="Tahoma"/>
          <w:sz w:val="20"/>
          <w:szCs w:val="20"/>
        </w:rPr>
        <w:t xml:space="preserve">Clause 10.3: Improvement: Continuously improves interface management based on lessons learned. Additional Considerations:</w:t>
      </w:r>
    </w:p>
    <w:p>
      <w:pPr>
        <w:pStyle w:val="ListParagraph"/>
        <w:numPr>
          <w:ilvl w:val="0"/>
          <w:numId w:val="2"/>
        </w:numPr>
        <w:spacing w:after="60" w:line="268"/>
        <w:jc w:val="both"/>
      </w:pPr>
      <w:r>
        <w:rPr>
          <w:rFonts w:ascii="Tahoma" w:cs="Tahoma" w:eastAsia="Tahoma" w:hAnsi="Tahoma"/>
          <w:sz w:val="20"/>
          <w:szCs w:val="20"/>
        </w:rPr>
        <w:t xml:space="preserve">This is a generic procedure and should be adapted to the specific requirements of each project.</w:t>
      </w:r>
    </w:p>
    <w:p>
      <w:pPr>
        <w:pStyle w:val="ListParagraph"/>
        <w:numPr>
          <w:ilvl w:val="0"/>
          <w:numId w:val="2"/>
        </w:numPr>
        <w:spacing w:after="60" w:line="268"/>
        <w:jc w:val="both"/>
      </w:pPr>
      <w:r>
        <w:rPr>
          <w:rFonts w:ascii="Tahoma" w:cs="Tahoma" w:eastAsia="Tahoma" w:hAnsi="Tahoma"/>
          <w:sz w:val="20"/>
          <w:szCs w:val="20"/>
        </w:rPr>
        <w:t xml:space="preserve">Additional procedures may be needed for specific high-risk interfaces or complex projects.</w:t>
      </w:r>
    </w:p>
    <w:p>
      <w:pPr>
        <w:pStyle w:val="ListParagraph"/>
        <w:numPr>
          <w:ilvl w:val="0"/>
          <w:numId w:val="2"/>
        </w:numPr>
        <w:spacing w:after="60" w:line="268"/>
        <w:jc w:val="both"/>
      </w:pPr>
      <w:r>
        <w:rPr>
          <w:rFonts w:ascii="Tahoma" w:cs="Tahoma" w:eastAsia="Tahoma" w:hAnsi="Tahoma"/>
          <w:sz w:val="20"/>
          <w:szCs w:val="20"/>
        </w:rPr>
        <w:t xml:space="preserve">Regular training and awareness campaigns are crucial for all personnel involved in interface management. Responsibilities and Authorities: Each Interface management procedure /plan SHALL Outline the responsibilities and authorities of individuals and parties involved in the project's HSE interface management, including the project manager, HSE manager, contractors, subcontractors, and workers. Clearly define their roles and accountabilities to ensure effective coordination and communication. For example, but not limited:</w:t>
      </w:r>
    </w:p>
    <w:p>
      <w:pPr>
        <w:pStyle w:val="ListParagraph"/>
        <w:numPr>
          <w:ilvl w:val="0"/>
          <w:numId w:val="2"/>
        </w:numPr>
        <w:spacing w:after="60" w:line="268"/>
        <w:jc w:val="both"/>
      </w:pPr>
      <w:r>
        <w:rPr>
          <w:rFonts w:ascii="Tahoma" w:cs="Tahoma" w:eastAsia="Tahoma" w:hAnsi="Tahoma"/>
          <w:sz w:val="20"/>
          <w:szCs w:val="20"/>
        </w:rPr>
        <w:t xml:space="preserve">Project Manager: Overall responsible for implementing this procedure and ensuring HSE compliance throughout the project.</w:t>
      </w:r>
    </w:p>
    <w:p>
      <w:pPr>
        <w:pStyle w:val="ListParagraph"/>
        <w:numPr>
          <w:ilvl w:val="0"/>
          <w:numId w:val="2"/>
        </w:numPr>
        <w:spacing w:after="60" w:line="268"/>
        <w:jc w:val="both"/>
      </w:pPr>
      <w:r>
        <w:rPr>
          <w:rFonts w:ascii="Tahoma" w:cs="Tahoma" w:eastAsia="Tahoma" w:hAnsi="Tahoma"/>
          <w:sz w:val="20"/>
          <w:szCs w:val="20"/>
        </w:rPr>
        <w:t xml:space="preserve">HSE Manager: Develops and implements HSE plans and procedures, and coordinates HSE communication and interface management.</w:t>
      </w:r>
    </w:p>
    <w:p>
      <w:pPr>
        <w:pStyle w:val="ListParagraph"/>
        <w:numPr>
          <w:ilvl w:val="0"/>
          <w:numId w:val="2"/>
        </w:numPr>
        <w:spacing w:after="60" w:line="268"/>
        <w:jc w:val="both"/>
      </w:pPr>
      <w:r>
        <w:rPr>
          <w:rFonts w:ascii="Tahoma" w:cs="Tahoma" w:eastAsia="Tahoma" w:hAnsi="Tahoma"/>
          <w:sz w:val="20"/>
          <w:szCs w:val="20"/>
        </w:rPr>
        <w:t xml:space="preserve">Construction Manager: Ensures HSE compliance on site and communicates HSE risks and controls to all personnel.</w:t>
      </w:r>
    </w:p>
    <w:p>
      <w:pPr>
        <w:pStyle w:val="ListParagraph"/>
        <w:numPr>
          <w:ilvl w:val="0"/>
          <w:numId w:val="2"/>
        </w:numPr>
        <w:spacing w:after="60" w:line="268"/>
        <w:jc w:val="both"/>
      </w:pPr>
      <w:r>
        <w:rPr>
          <w:rFonts w:ascii="Tahoma" w:cs="Tahoma" w:eastAsia="Tahoma" w:hAnsi="Tahoma"/>
          <w:sz w:val="20"/>
          <w:szCs w:val="20"/>
        </w:rPr>
        <w:t xml:space="preserve">All Personnel: Participate in HSE training, report hazards and incidents, follow HSE procedures.</w:t>
      </w:r>
    </w:p>
    <w:p>
      <w:pPr>
        <w:pStyle w:val="Heading2"/>
      </w:pPr>
      <w:bookmarkStart w:id="9004" w:name="_DanToc9004"/>
      <w:r>
        <w:t xml:space="preserve">Procedure</w:t>
      </w:r>
      <w:bookmarkEnd w:id="9004"/>
    </w:p>
    <w:p>
      <w:pPr>
        <w:pStyle w:val="Heading1"/>
      </w:pPr>
      <w:bookmarkStart w:id="9005" w:name="_DanToc9005"/>
      <w:r>
        <w:t xml:space="preserve">Pre-construction:</w:t>
      </w:r>
      <w:bookmarkEnd w:id="9005"/>
    </w:p>
    <w:p>
      <w:pPr>
        <w:pStyle w:val="ListParagraph"/>
        <w:numPr>
          <w:ilvl w:val="0"/>
          <w:numId w:val="2"/>
        </w:numPr>
        <w:spacing w:after="60" w:line="268"/>
        <w:jc w:val="both"/>
      </w:pPr>
      <w:r>
        <w:rPr>
          <w:rFonts w:ascii="Tahoma" w:cs="Tahoma" w:eastAsia="Tahoma" w:hAnsi="Tahoma"/>
          <w:sz w:val="20"/>
          <w:szCs w:val="20"/>
        </w:rPr>
        <w:t xml:space="preserve">Identify Interfaces: Analyze project activities and identify all potential HSE interfaces.</w:t>
      </w:r>
    </w:p>
    <w:p>
      <w:pPr>
        <w:pStyle w:val="ListParagraph"/>
        <w:numPr>
          <w:ilvl w:val="0"/>
          <w:numId w:val="2"/>
        </w:numPr>
        <w:spacing w:after="60" w:line="268"/>
        <w:jc w:val="both"/>
      </w:pPr>
      <w:r>
        <w:rPr>
          <w:rFonts w:ascii="Tahoma" w:cs="Tahoma" w:eastAsia="Tahoma" w:hAnsi="Tahoma"/>
          <w:sz w:val="20"/>
          <w:szCs w:val="20"/>
        </w:rPr>
        <w:t xml:space="preserve">Communication Plan: Develop a communication plan outlining communication channels, frequency, and responsibilities for each interface.</w:t>
      </w:r>
    </w:p>
    <w:p>
      <w:pPr>
        <w:pStyle w:val="ListParagraph"/>
        <w:numPr>
          <w:ilvl w:val="0"/>
          <w:numId w:val="2"/>
        </w:numPr>
        <w:spacing w:after="60" w:line="268"/>
        <w:jc w:val="both"/>
      </w:pPr>
      <w:r>
        <w:rPr>
          <w:rFonts w:ascii="Tahoma" w:cs="Tahoma" w:eastAsia="Tahoma" w:hAnsi="Tahoma"/>
          <w:sz w:val="20"/>
          <w:szCs w:val="20"/>
        </w:rPr>
        <w:t xml:space="preserve">Sub Contractual Agreements: Include clear HSE clauses in contracts with all stakeholders, defining roles, responsibilities, and communication protocols.</w:t>
      </w:r>
    </w:p>
    <w:p>
      <w:pPr>
        <w:pStyle w:val="ListParagraph"/>
        <w:numPr>
          <w:ilvl w:val="0"/>
          <w:numId w:val="2"/>
        </w:numPr>
        <w:spacing w:after="60" w:line="268"/>
        <w:jc w:val="both"/>
      </w:pPr>
      <w:r>
        <w:rPr>
          <w:rFonts w:ascii="Tahoma" w:cs="Tahoma" w:eastAsia="Tahoma" w:hAnsi="Tahoma"/>
          <w:sz w:val="20"/>
          <w:szCs w:val="20"/>
        </w:rPr>
        <w:t xml:space="preserve">HSE Induction: Conduct HSE induction for all personnel involved in the project, including specific interface requirements.</w:t>
      </w:r>
    </w:p>
    <w:p>
      <w:pPr>
        <w:pStyle w:val="Heading1"/>
      </w:pPr>
      <w:bookmarkStart w:id="9006" w:name="_DanToc9006"/>
      <w:r>
        <w:t xml:space="preserve">Construction Phase:</w:t>
      </w:r>
      <w:bookmarkEnd w:id="9006"/>
    </w:p>
    <w:p>
      <w:pPr>
        <w:pStyle w:val="ListParagraph"/>
        <w:numPr>
          <w:ilvl w:val="0"/>
          <w:numId w:val="2"/>
        </w:numPr>
        <w:spacing w:after="60" w:line="268"/>
        <w:jc w:val="both"/>
      </w:pPr>
      <w:r>
        <w:rPr>
          <w:rFonts w:ascii="Tahoma" w:cs="Tahoma" w:eastAsia="Tahoma" w:hAnsi="Tahoma"/>
          <w:sz w:val="20"/>
          <w:szCs w:val="20"/>
        </w:rPr>
        <w:t xml:space="preserve">Regular Meetings: Conduct regular meetings with all stakeholders to discuss HSE risks, controls, and any interface-related concerns.</w:t>
      </w:r>
    </w:p>
    <w:p>
      <w:pPr>
        <w:pStyle w:val="ListParagraph"/>
        <w:numPr>
          <w:ilvl w:val="0"/>
          <w:numId w:val="2"/>
        </w:numPr>
        <w:spacing w:after="60" w:line="268"/>
        <w:jc w:val="both"/>
      </w:pPr>
      <w:r>
        <w:rPr>
          <w:rFonts w:ascii="Tahoma" w:cs="Tahoma" w:eastAsia="Tahoma" w:hAnsi="Tahoma"/>
          <w:sz w:val="20"/>
          <w:szCs w:val="20"/>
        </w:rPr>
        <w:t xml:space="preserve">Joint Site Inspections: Conduct joint inspections with other projects sharing resources or workspaces to identify and address potential hazards.</w:t>
      </w:r>
    </w:p>
    <w:p>
      <w:pPr>
        <w:pStyle w:val="ListParagraph"/>
        <w:numPr>
          <w:ilvl w:val="0"/>
          <w:numId w:val="2"/>
        </w:numPr>
        <w:spacing w:after="60" w:line="268"/>
        <w:jc w:val="both"/>
      </w:pPr>
      <w:r>
        <w:rPr>
          <w:rFonts w:ascii="Tahoma" w:cs="Tahoma" w:eastAsia="Tahoma" w:hAnsi="Tahoma"/>
          <w:sz w:val="20"/>
          <w:szCs w:val="20"/>
        </w:rPr>
        <w:t xml:space="preserve">Incident Investigation and Reporting: Investigate and report all HSE incidents and near misses promptly, ensuring all relevant stakeholders are informed.</w:t>
      </w:r>
    </w:p>
    <w:p>
      <w:pPr>
        <w:pStyle w:val="ListParagraph"/>
        <w:numPr>
          <w:ilvl w:val="0"/>
          <w:numId w:val="2"/>
        </w:numPr>
        <w:spacing w:after="60" w:line="268"/>
        <w:jc w:val="both"/>
      </w:pPr>
      <w:r>
        <w:rPr>
          <w:rFonts w:ascii="Tahoma" w:cs="Tahoma" w:eastAsia="Tahoma" w:hAnsi="Tahoma"/>
          <w:sz w:val="20"/>
          <w:szCs w:val="20"/>
        </w:rPr>
        <w:t xml:space="preserve">Change Management: Communicate and coordinate any changes to project plans, procedures, or site conditions that could impact HSE interfaces.</w:t>
      </w:r>
    </w:p>
    <w:p>
      <w:pPr>
        <w:pStyle w:val="ListParagraph"/>
        <w:numPr>
          <w:ilvl w:val="0"/>
          <w:numId w:val="2"/>
        </w:numPr>
        <w:spacing w:after="60" w:line="268"/>
        <w:jc w:val="both"/>
      </w:pPr>
      <w:r>
        <w:rPr>
          <w:rFonts w:ascii="Tahoma" w:cs="Tahoma" w:eastAsia="Tahoma" w:hAnsi="Tahoma"/>
          <w:sz w:val="20"/>
          <w:szCs w:val="20"/>
        </w:rPr>
        <w:t xml:space="preserve">Document Management: Maintain clear and accessible documentation of all HSE communication, agreements, and incident reports related to interfaces.</w:t>
      </w:r>
    </w:p>
    <w:p>
      <w:pPr>
        <w:pStyle w:val="Heading1"/>
      </w:pPr>
      <w:bookmarkStart w:id="9007" w:name="_DanToc9007"/>
      <w:r>
        <w:t xml:space="preserve">post-construction:</w:t>
      </w:r>
      <w:bookmarkEnd w:id="9007"/>
    </w:p>
    <w:p>
      <w:pPr>
        <w:pStyle w:val="ListParagraph"/>
        <w:numPr>
          <w:ilvl w:val="0"/>
          <w:numId w:val="2"/>
        </w:numPr>
        <w:spacing w:after="60" w:line="268"/>
        <w:jc w:val="both"/>
      </w:pPr>
      <w:r>
        <w:rPr>
          <w:rFonts w:ascii="Tahoma" w:cs="Tahoma" w:eastAsia="Tahoma" w:hAnsi="Tahoma"/>
          <w:sz w:val="20"/>
          <w:szCs w:val="20"/>
        </w:rPr>
        <w:t xml:space="preserve">Final Review: Conduct a final review of HSE performance at project completion, including interface management effectiveness.</w:t>
      </w:r>
    </w:p>
    <w:p>
      <w:pPr>
        <w:pStyle w:val="ListParagraph"/>
        <w:numPr>
          <w:ilvl w:val="0"/>
          <w:numId w:val="2"/>
        </w:numPr>
        <w:spacing w:after="60" w:line="268"/>
        <w:jc w:val="both"/>
      </w:pPr>
      <w:r>
        <w:rPr>
          <w:rFonts w:ascii="Tahoma" w:cs="Tahoma" w:eastAsia="Tahoma" w:hAnsi="Tahoma"/>
          <w:sz w:val="20"/>
          <w:szCs w:val="20"/>
        </w:rPr>
        <w:t xml:space="preserve">Lessons Learned: Identify and document lessons learned from interface management experiences for future projects. Guidelines on how and what the procedure/plan shall cover:</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Risk Assessment and Hazard Identification: Describe the process for identifying, assessing, and managing risks and hazards associated with interfaces between different contractors, subcontractors, and project activities. Emphasize the importance of conducting risk assessments and implementing control measures to eliminate or minimize risks.</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Communication and Coordination: Explain the procedures and channels for effective communication and coordination among stakeholders involved in the project. This may include regular meetings, documentation, and reporting mechanisms to ensure that relevant HSE information is shared and acted upon promptly.</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Contractor Management: Provide guidelines for selecting, evaluating, and managing contractors and subcontractors to ensure their compliance with HSE requirements. Specify the criteria for contractor prequalification, training, and ongoing monitoring to ensure their adherence to HSE standards.</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Change Management: Describe the process for managing changes that may impact HSE interfaces, such as changes in project scope, design, or contractors. Highlight the need for assessing potential HSE implications and implementing appropriate measures to maintain safety during project execution.</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Incident Reporting and Investigation: Establish procedures for reporting and investigating incidents and near misses related to HSE interfaces. Specify the requirements for incident reporting, recording, analysis, and corrective actions to prevent recurrence and continuously improve HSE performance.</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Monitoring and Performance Measurement: Define the methods and metrics for monitoring and measuring HSE performance related to interfaces. This may include indicators such as the number of interface-related incidents, compliance with HSE requirements, and effectiveness of control measures. Explain how performance data will be reviewed, analyzed, and used to drive improvement.</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Documentation and Record Keeping: Outline the documentation requirements for the HSE interface management process, including records of risk assessments, incident reports, training records, and any other relevant documentation. Specify the retention period for records and their accessibility.</w:t>
      </w:r>
    </w:p>
    <w:p>
      <w:pPr>
        <w:spacing w:after="60" w:line="268"/>
        <w:ind w:left="540" w:hanging="270"/>
      </w:pPr>
      <w:r>
        <w:rPr>
          <w:rFonts w:ascii="Tahoma" w:cs="Tahoma" w:eastAsia="Tahoma" w:hAnsi="Tahoma"/>
          <w:b/>
          <w:bCs/>
          <w:color w:val="542A12"/>
          <w:sz w:val="20"/>
          <w:szCs w:val="20"/>
        </w:rPr>
        <w:t xml:space="preserve">8.  </w:t>
      </w:r>
      <w:r>
        <w:rPr>
          <w:rFonts w:ascii="Tahoma" w:cs="Tahoma" w:eastAsia="Tahoma" w:hAnsi="Tahoma"/>
          <w:sz w:val="20"/>
          <w:szCs w:val="20"/>
        </w:rPr>
        <w:t xml:space="preserve">Continuous Improvement: Emphasize the organization's commitment to continuous improvement of HSE interface management. Encourage feedback, lessons learned, and proactive measures to enhance safety performance and prevent incidents.</w:t>
      </w:r>
    </w:p>
    <w:p>
      <w:pPr>
        <w:spacing w:after="60" w:line="268"/>
        <w:ind w:left="540" w:hanging="270"/>
      </w:pPr>
      <w:r>
        <w:rPr>
          <w:rFonts w:ascii="Tahoma" w:cs="Tahoma" w:eastAsia="Tahoma" w:hAnsi="Tahoma"/>
          <w:b/>
          <w:bCs/>
          <w:color w:val="542A12"/>
          <w:sz w:val="20"/>
          <w:szCs w:val="20"/>
        </w:rPr>
        <w:t xml:space="preserve">9.  </w:t>
      </w:r>
      <w:r>
        <w:rPr>
          <w:rFonts w:ascii="Tahoma" w:cs="Tahoma" w:eastAsia="Tahoma" w:hAnsi="Tahoma"/>
          <w:sz w:val="20"/>
          <w:szCs w:val="20"/>
        </w:rPr>
        <w:t xml:space="preserve">Compliance: Highlight the importance of complying with applicable legal and regulatory requirements related to HSE interfaces and provide guidance on staying up to date with changes in relevant regulations.</w:t>
      </w:r>
    </w:p>
    <w:p>
      <w:pPr>
        <w:spacing w:after="60" w:line="268"/>
        <w:ind w:left="540" w:hanging="270"/>
      </w:pPr>
      <w:r>
        <w:rPr>
          <w:rFonts w:ascii="Tahoma" w:cs="Tahoma" w:eastAsia="Tahoma" w:hAnsi="Tahoma"/>
          <w:b/>
          <w:bCs/>
          <w:color w:val="542A12"/>
          <w:sz w:val="20"/>
          <w:szCs w:val="20"/>
        </w:rPr>
        <w:t xml:space="preserve">10.  </w:t>
      </w:r>
      <w:r>
        <w:rPr>
          <w:rFonts w:ascii="Tahoma" w:cs="Tahoma" w:eastAsia="Tahoma" w:hAnsi="Tahoma"/>
          <w:sz w:val="20"/>
          <w:szCs w:val="20"/>
        </w:rPr>
        <w:t xml:space="preserve">Training and Competence: Describe the requirements for HSE training and competence development for individuals involved in interface management. Specify the training topics, frequency, and methods for ensuring that all personnel have the necessary knowledge and skills to fulfil their HSE responsibilities.</w:t>
      </w:r>
    </w:p>
    <w:p>
      <w:pPr>
        <w:spacing w:after="60" w:line="268"/>
        <w:ind w:left="540" w:hanging="270"/>
      </w:pPr>
      <w:r>
        <w:rPr>
          <w:rFonts w:ascii="Tahoma" w:cs="Tahoma" w:eastAsia="Tahoma" w:hAnsi="Tahoma"/>
          <w:b/>
          <w:bCs/>
          <w:color w:val="542A12"/>
          <w:sz w:val="20"/>
          <w:szCs w:val="20"/>
        </w:rPr>
        <w:t xml:space="preserve">11.  </w:t>
      </w:r>
      <w:r>
        <w:rPr>
          <w:rFonts w:ascii="Tahoma" w:cs="Tahoma" w:eastAsia="Tahoma" w:hAnsi="Tahoma"/>
          <w:sz w:val="20"/>
          <w:szCs w:val="20"/>
        </w:rPr>
        <w:t xml:space="preserve">Review and Revision: Establish a process for regularly reviewing and updating the Project HSE Interface Management Procedure to ensure its effectiveness and alignment with ISO 45001 and other relevant standards. Specify the roles and responsibilities for conducting these reviews.</w:t>
      </w:r>
    </w:p>
    <w:p>
      <w:pPr>
        <w:spacing w:after="60" w:line="268"/>
        <w:ind w:left="540" w:hanging="270"/>
      </w:pPr>
      <w:r>
        <w:rPr>
          <w:rFonts w:ascii="Tahoma" w:cs="Tahoma" w:eastAsia="Tahoma" w:hAnsi="Tahoma"/>
          <w:b/>
          <w:bCs/>
          <w:color w:val="542A12"/>
          <w:sz w:val="20"/>
          <w:szCs w:val="20"/>
        </w:rPr>
        <w:t xml:space="preserve">12.  </w:t>
      </w:r>
      <w:r>
        <w:rPr>
          <w:rFonts w:ascii="Tahoma" w:cs="Tahoma" w:eastAsia="Tahoma" w:hAnsi="Tahoma"/>
          <w:sz w:val="20"/>
          <w:szCs w:val="20"/>
        </w:rPr>
        <w:t xml:space="preserve">Pre-Construction Phase: Address the interface management process during the preconstruction phase. This may include conducting interface risk assessments during the planning stage, identifying potential hazards and control measures, and establishing communication protocols with contractors and subcontractors.</w:t>
      </w:r>
    </w:p>
    <w:p>
      <w:pPr>
        <w:spacing w:after="60" w:line="268"/>
        <w:ind w:left="540" w:hanging="270"/>
      </w:pPr>
      <w:r>
        <w:rPr>
          <w:rFonts w:ascii="Tahoma" w:cs="Tahoma" w:eastAsia="Tahoma" w:hAnsi="Tahoma"/>
          <w:b/>
          <w:bCs/>
          <w:color w:val="542A12"/>
          <w:sz w:val="20"/>
          <w:szCs w:val="20"/>
        </w:rPr>
        <w:t xml:space="preserve">13.  </w:t>
      </w:r>
      <w:r>
        <w:rPr>
          <w:rFonts w:ascii="Tahoma" w:cs="Tahoma" w:eastAsia="Tahoma" w:hAnsi="Tahoma"/>
          <w:sz w:val="20"/>
          <w:szCs w:val="20"/>
        </w:rPr>
        <w:t xml:space="preserve">Design Coordination: Highlight the importance of coordinating with designers and architects to ensure that HSE considerations are incorporated into the design phase. Emphasize the need for clear communication and collaboration to address potential HSE risks and hazards at the design stage itself.</w:t>
      </w:r>
    </w:p>
    <w:p>
      <w:pPr>
        <w:spacing w:after="60" w:line="268"/>
        <w:ind w:left="540" w:hanging="270"/>
      </w:pPr>
      <w:r>
        <w:rPr>
          <w:rFonts w:ascii="Tahoma" w:cs="Tahoma" w:eastAsia="Tahoma" w:hAnsi="Tahoma"/>
          <w:b/>
          <w:bCs/>
          <w:color w:val="542A12"/>
          <w:sz w:val="20"/>
          <w:szCs w:val="20"/>
        </w:rPr>
        <w:t xml:space="preserve">14.  </w:t>
      </w:r>
      <w:r>
        <w:rPr>
          <w:rFonts w:ascii="Tahoma" w:cs="Tahoma" w:eastAsia="Tahoma" w:hAnsi="Tahoma"/>
          <w:sz w:val="20"/>
          <w:szCs w:val="20"/>
        </w:rPr>
        <w:t xml:space="preserve">Permit-to-Work System: Describe the implementation of a permit-to-work system for high-risk activities or interfaces. Specify the requirements for obtaining permits, the responsibilities of permit issuers and receivers, and the process for monitoring and reviewing permits to ensure compliance with HSE requirements.</w:t>
      </w:r>
    </w:p>
    <w:p>
      <w:pPr>
        <w:spacing w:after="60" w:line="268"/>
        <w:ind w:left="540" w:hanging="270"/>
      </w:pPr>
      <w:r>
        <w:rPr>
          <w:rFonts w:ascii="Tahoma" w:cs="Tahoma" w:eastAsia="Tahoma" w:hAnsi="Tahoma"/>
          <w:b/>
          <w:bCs/>
          <w:color w:val="542A12"/>
          <w:sz w:val="20"/>
          <w:szCs w:val="20"/>
        </w:rPr>
        <w:t xml:space="preserve">15.  </w:t>
      </w:r>
      <w:r>
        <w:rPr>
          <w:rFonts w:ascii="Tahoma" w:cs="Tahoma" w:eastAsia="Tahoma" w:hAnsi="Tahoma"/>
          <w:sz w:val="20"/>
          <w:szCs w:val="20"/>
        </w:rPr>
        <w:t xml:space="preserve">Emergency Preparedness: Outline the procedures for emergency preparedness and response concerning interfaces. This may include developing emergency response plans, conducting drills and exercises, and establishing communication protocols during emergencies that involve multiple contractors.</w:t>
      </w:r>
    </w:p>
    <w:p>
      <w:pPr>
        <w:spacing w:after="60" w:line="268"/>
        <w:ind w:left="540" w:hanging="270"/>
      </w:pPr>
      <w:r>
        <w:rPr>
          <w:rFonts w:ascii="Tahoma" w:cs="Tahoma" w:eastAsia="Tahoma" w:hAnsi="Tahoma"/>
          <w:b/>
          <w:bCs/>
          <w:color w:val="542A12"/>
          <w:sz w:val="20"/>
          <w:szCs w:val="20"/>
        </w:rPr>
        <w:t xml:space="preserve">16.  </w:t>
      </w:r>
      <w:r>
        <w:rPr>
          <w:rFonts w:ascii="Tahoma" w:cs="Tahoma" w:eastAsia="Tahoma" w:hAnsi="Tahoma"/>
          <w:sz w:val="20"/>
          <w:szCs w:val="20"/>
        </w:rPr>
        <w:t xml:space="preserve">Subcontractor Coordination: Guide coordinating interfaces between main contractors and subcontractors. Highlight the need for effective communication, information sharing, and coordination of activities to ensure that subcontractors are aware of and adhere to the project's HSE requirements.</w:t>
      </w:r>
    </w:p>
    <w:p>
      <w:pPr>
        <w:spacing w:after="60" w:line="268"/>
        <w:ind w:left="540" w:hanging="270"/>
      </w:pPr>
      <w:r>
        <w:rPr>
          <w:rFonts w:ascii="Tahoma" w:cs="Tahoma" w:eastAsia="Tahoma" w:hAnsi="Tahoma"/>
          <w:b/>
          <w:bCs/>
          <w:color w:val="542A12"/>
          <w:sz w:val="20"/>
          <w:szCs w:val="20"/>
        </w:rPr>
        <w:t xml:space="preserve">17.  </w:t>
      </w:r>
      <w:r>
        <w:rPr>
          <w:rFonts w:ascii="Tahoma" w:cs="Tahoma" w:eastAsia="Tahoma" w:hAnsi="Tahoma"/>
          <w:sz w:val="20"/>
          <w:szCs w:val="20"/>
        </w:rPr>
        <w:t xml:space="preserve">Lessons Learned and Knowledge Sharing: Establish mechanisms for capturing lessons learned from interface management experiences and sharing them across the organization. Encourage the documentation and dissemination of best practices, success stories, and challenges faced during interface management to facilitate continuous improvement.</w:t>
      </w:r>
    </w:p>
    <w:p>
      <w:pPr>
        <w:spacing w:after="60" w:line="268"/>
        <w:ind w:left="540" w:hanging="270"/>
      </w:pPr>
      <w:r>
        <w:rPr>
          <w:rFonts w:ascii="Tahoma" w:cs="Tahoma" w:eastAsia="Tahoma" w:hAnsi="Tahoma"/>
          <w:b/>
          <w:bCs/>
          <w:color w:val="542A12"/>
          <w:sz w:val="20"/>
          <w:szCs w:val="20"/>
        </w:rPr>
        <w:t xml:space="preserve">18.  </w:t>
      </w:r>
      <w:r>
        <w:rPr>
          <w:rFonts w:ascii="Tahoma" w:cs="Tahoma" w:eastAsia="Tahoma" w:hAnsi="Tahoma"/>
          <w:sz w:val="20"/>
          <w:szCs w:val="20"/>
        </w:rPr>
        <w:t xml:space="preserve">Auditing and Review: Explain the process for conducting audits and reviews of the implementation of the Project HSE Interface Management Procedure. Specify the frequency and scope of audits, the qualifications of auditors, and the actions to be taken based on audit findings to ensure ongoing compliance and improvement.</w:t>
      </w:r>
    </w:p>
    <w:p>
      <w:pPr>
        <w:spacing w:after="60" w:line="268"/>
        <w:ind w:left="540" w:hanging="270"/>
      </w:pPr>
      <w:r>
        <w:rPr>
          <w:rFonts w:ascii="Tahoma" w:cs="Tahoma" w:eastAsia="Tahoma" w:hAnsi="Tahoma"/>
          <w:b/>
          <w:bCs/>
          <w:color w:val="542A12"/>
          <w:sz w:val="20"/>
          <w:szCs w:val="20"/>
        </w:rPr>
        <w:t xml:space="preserve">19.  </w:t>
      </w:r>
      <w:r>
        <w:rPr>
          <w:rFonts w:ascii="Tahoma" w:cs="Tahoma" w:eastAsia="Tahoma" w:hAnsi="Tahoma"/>
          <w:sz w:val="20"/>
          <w:szCs w:val="20"/>
        </w:rPr>
        <w:t xml:space="preserve">Integration with Other Management Systems: Consider how the Project HSE Interface Management Procedure aligns and integrates with other management systems, such as quality management (ISO 9001) and environmental management (ISO 14001). Identify opportunities for synergy and coordination across different management disciplines to optimize overall project performance.</w:t>
      </w:r>
    </w:p>
    <w:p>
      <w:pPr>
        <w:spacing w:after="60" w:line="268"/>
        <w:ind w:left="540" w:hanging="270"/>
      </w:pPr>
      <w:r>
        <w:rPr>
          <w:rFonts w:ascii="Tahoma" w:cs="Tahoma" w:eastAsia="Tahoma" w:hAnsi="Tahoma"/>
          <w:b/>
          <w:bCs/>
          <w:color w:val="542A12"/>
          <w:sz w:val="20"/>
          <w:szCs w:val="20"/>
        </w:rPr>
        <w:t xml:space="preserve">20.  </w:t>
      </w:r>
      <w:r>
        <w:rPr>
          <w:rFonts w:ascii="Tahoma" w:cs="Tahoma" w:eastAsia="Tahoma" w:hAnsi="Tahoma"/>
          <w:sz w:val="20"/>
          <w:szCs w:val="20"/>
        </w:rPr>
        <w:t xml:space="preserve">Stakeholder Engagement: Emphasize the importance of engaging stakeholders, including workers, contractors, clients, and regulatory authorities, in the interface management process. Encourage open communication, feedback, and collaboration to foster a positive safety culture and ensure that diverse perspectives are considered. This outline provides a structured approach to managing HSE interfaces within a construction project, ensuring alignment with ISO 45001 standards and best practices in the construction industry. Adjustments can be made based on the specific requirements and characteristics of the construction project.</w:t>
      </w:r>
    </w:p>
    <w:p>
      <w:pPr>
        <w:pStyle w:val="Heading1"/>
      </w:pPr>
      <w:bookmarkStart w:id="9008" w:name="_DanToc9008"/>
      <w:r>
        <w:t xml:space="preserve">Revision History</w:t>
      </w:r>
      <w:bookmarkEnd w:id="900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First issue — DAN HSE Minimum Requirement, adapted from the source OH&amp;S minimum requirement, re-branded to DAN and coded to the DAN document-numbering convention (01-000001-000000-DAN-HSE-MNR-000031).</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HSSE Manager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HSE Minimum Requirement — Project HSE Interface Management Requirements</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01-000001-000000-DAN-HSE-MNR-000031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HSE Interface Management Requirements</dc:title>
  <dc:creator>DAN HSSE Management System</dc:creator>
  <cp:lastModifiedBy>Un-named</cp:lastModifiedBy>
  <cp:revision>1</cp:revision>
  <dcterms:created xsi:type="dcterms:W3CDTF">2026-09-01T13:35:27.708Z</dcterms:created>
  <dcterms:modified xsi:type="dcterms:W3CDTF">2026-09-01T13:35:27.708Z</dcterms:modified>
</cp:coreProperties>
</file>

<file path=docProps/custom.xml><?xml version="1.0" encoding="utf-8"?>
<Properties xmlns="http://schemas.openxmlformats.org/officeDocument/2006/custom-properties" xmlns:vt="http://schemas.openxmlformats.org/officeDocument/2006/docPropsVTypes"/>
</file>