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drawing>
          <wp:inline distT="0" distB="0" distL="0" distR="0">
            <wp:extent cx="1428750" cy="1104900"/>
            <wp:effectExtent t="0" r="0" b="0" l="0"/>
            <wp:docPr id="1" name="DAN" descr="DAN Company logo" title="D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1104900"/>
                    </a:xfrm>
                    <a:prstGeom prst="rect">
                      <a:avLst/>
                    </a:prstGeom>
                  </pic:spPr>
                </pic:pic>
              </a:graphicData>
            </a:graphic>
          </wp:inline>
        </w:drawing>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19648B"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119D88"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E68233"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B33533" w:color="auto" w:val="clear"/>
          </w:tcPr>
          <w:p>
            <w:pPr>
              <w:spacing w:after="0" w:before="0"/>
            </w:pPr>
            <w:r>
              <w:rPr>
                <w:sz w:val="8"/>
                <w:szCs w:val="8"/>
              </w:rPr>
              <w:t xml:space="preserve"> </w:t>
            </w:r>
          </w:p>
        </w:tc>
      </w:tr>
    </w:tbl>
    <w:p>
      <w:pPr>
        <w:spacing w:after="0" w:before="480"/>
      </w:pPr>
      <w:r>
        <w:rPr>
          <w:rFonts w:ascii="Tahoma" w:cs="Tahoma" w:eastAsia="Tahoma" w:hAnsi="Tahoma"/>
          <w:b/>
          <w:bCs/>
          <w:color w:val="595959"/>
          <w:spacing w:val="30"/>
          <w:sz w:val="20"/>
          <w:szCs w:val="20"/>
        </w:rPr>
        <w:t xml:space="preserve">HEALTH, SAFETY &amp; ENVIRONMENT MANAGEMENT SYSTEM</w:t>
      </w:r>
    </w:p>
    <w:p>
      <w:pPr>
        <w:spacing w:after="0" w:before="40"/>
      </w:pPr>
      <w:r>
        <w:rPr>
          <w:rFonts w:ascii="Tahoma" w:cs="Tahoma" w:eastAsia="Tahoma" w:hAnsi="Tahoma"/>
          <w:color w:val="595959"/>
          <w:sz w:val="18"/>
          <w:szCs w:val="18"/>
        </w:rPr>
        <w:t xml:space="preserve">DAN Construction Safety Manual (DCSM)</w:t>
      </w:r>
    </w:p>
    <w:p>
      <w:pPr>
        <w:spacing w:after="0" w:before="720"/>
      </w:pPr>
      <w:r>
        <w:rPr>
          <w:rFonts w:ascii="Tahoma" w:cs="Tahoma" w:eastAsia="Tahoma" w:hAnsi="Tahoma"/>
          <w:b/>
          <w:bCs/>
          <w:color w:val="542A12"/>
          <w:sz w:val="44"/>
          <w:szCs w:val="44"/>
        </w:rPr>
        <w:t xml:space="preserve">Ladders</w:t>
      </w:r>
    </w:p>
    <w:p>
      <w:pPr>
        <w:pBdr>
          <w:top w:val="single" w:color="E68233" w:sz="12" w:space="8"/>
        </w:pBdr>
        <w:spacing w:after="0" w:before="200"/>
      </w:pPr>
      <w:r>
        <w:rPr>
          <w:rFonts w:ascii="Tahoma" w:cs="Tahoma" w:eastAsia="Tahoma" w:hAnsi="Tahoma"/>
          <w:sz w:val="8"/>
          <w:szCs w:val="8"/>
        </w:rPr>
        <w:t xml:space="preserve"/>
      </w:r>
    </w:p>
    <w:p>
      <w:pPr>
        <w:spacing w:after="120" w:before="480"/>
      </w:pPr>
      <w:r>
        <w:rPr>
          <w:rFonts w:ascii="Tahoma" w:cs="Tahoma" w:eastAsia="Tahoma" w:hAnsi="Tahoma"/>
          <w:b/>
          <w:bCs/>
          <w:color w:val="542A12"/>
          <w:sz w:val="22"/>
          <w:szCs w:val="22"/>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No.</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01-000001-000000-DAN-HSE-PRC-000024</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Revision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R01</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Issue Date</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Classification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Controlled — Internal</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Owner</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HSE Department</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Page Format</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US Letter</w:t>
            </w:r>
          </w:p>
        </w:tc>
      </w:tr>
    </w:tbl>
    <w:p>
      <w:r>
        <w:br w:type="page"/>
      </w:r>
    </w:p>
    <w:p>
      <w:pPr>
        <w:sectPr>
          <w:pgSz w:w="12240" w:h="15840" w:orient="portrait"/>
          <w:pgMar w:top="1440" w:right="1440" w:bottom="1440" w:left="1440" w:header="708" w:footer="708" w:gutter="0"/>
          <w:pgNumType/>
          <w:docGrid w:linePitch="360"/>
        </w:sectPr>
      </w:pPr>
    </w:p>
    <w:p>
      <w:pPr>
        <w:spacing w:after="160"/>
      </w:pPr>
      <w:r>
        <w:rPr>
          <w:rFonts w:ascii="Tahoma" w:cs="Tahoma" w:eastAsia="Tahoma" w:hAnsi="Tahoma"/>
          <w:b/>
          <w:bCs/>
          <w:color w:val="542A12"/>
          <w:sz w:val="28"/>
          <w:szCs w:val="28"/>
        </w:rPr>
        <w:t xml:space="preserve">Table of Contents</w:t>
      </w:r>
    </w:p>
    <w:sdt>
      <w:sdtPr>
        <w:alias w:val="Table of Contents"/>
      </w:sdtPr>
      <w:sdtContent>
        <w:p>
          <w:r>
            <w:fldChar w:fldCharType="begin" w:dirty="true"/>
            <w:instrText xml:space="preserve">TOC \h \o "1-2"</w:instrText>
            <w:fldChar w:fldCharType="separate"/>
          </w:r>
        </w:p>
        <w:p>
          <w:pPr>
            <w:spacing w:after="40" w:line="259"/>
            <w:ind w:left="0"/>
          </w:pPr>
          <w:hyperlink w:anchor="_DanToc9000" w:history="1">
            <w:r>
              <w:rPr>
                <w:rFonts w:ascii="Tahoma" w:hAnsi="Tahoma" w:cs="Tahoma"/>
                <w:b/>
                <w:color w:val="542A12"/>
                <w:sz w:val="20"/>
              </w:rPr>
              <w:t xml:space="preserve">1. Purpose</w:t>
            </w:r>
          </w:hyperlink>
        </w:p>
        <w:p>
          <w:pPr>
            <w:spacing w:after="40" w:line="259"/>
            <w:ind w:left="0"/>
          </w:pPr>
          <w:hyperlink w:anchor="_DanToc9001" w:history="1">
            <w:r>
              <w:rPr>
                <w:rFonts w:ascii="Tahoma" w:hAnsi="Tahoma" w:cs="Tahoma"/>
                <w:b/>
                <w:color w:val="542A12"/>
                <w:sz w:val="20"/>
              </w:rPr>
              <w:t xml:space="preserve">2. Scope</w:t>
            </w:r>
          </w:hyperlink>
        </w:p>
        <w:p>
          <w:pPr>
            <w:spacing w:after="40" w:line="259"/>
            <w:ind w:left="0"/>
          </w:pPr>
          <w:hyperlink w:anchor="_DanToc9002" w:history="1">
            <w:r>
              <w:rPr>
                <w:rFonts w:ascii="Tahoma" w:hAnsi="Tahoma" w:cs="Tahoma"/>
                <w:b/>
                <w:color w:val="542A12"/>
                <w:sz w:val="20"/>
              </w:rPr>
              <w:t xml:space="preserve">3. References</w:t>
            </w:r>
          </w:hyperlink>
        </w:p>
        <w:p>
          <w:pPr>
            <w:spacing w:after="40" w:line="259"/>
            <w:ind w:left="0"/>
          </w:pPr>
          <w:hyperlink w:anchor="_DanToc9003" w:history="1">
            <w:r>
              <w:rPr>
                <w:rFonts w:ascii="Tahoma" w:hAnsi="Tahoma" w:cs="Tahoma"/>
                <w:b/>
                <w:color w:val="542A12"/>
                <w:sz w:val="20"/>
              </w:rPr>
              <w:t xml:space="preserve">4. Deliverables</w:t>
            </w:r>
          </w:hyperlink>
        </w:p>
        <w:p>
          <w:pPr>
            <w:spacing w:after="40" w:line="259"/>
            <w:ind w:left="0"/>
          </w:pPr>
          <w:hyperlink w:anchor="_DanToc9004" w:history="1">
            <w:r>
              <w:rPr>
                <w:rFonts w:ascii="Tahoma" w:hAnsi="Tahoma" w:cs="Tahoma"/>
                <w:b/>
                <w:color w:val="542A12"/>
                <w:sz w:val="20"/>
              </w:rPr>
              <w:t xml:space="preserve">5. General Requirements</w:t>
            </w:r>
          </w:hyperlink>
        </w:p>
        <w:p>
          <w:pPr>
            <w:spacing w:after="40" w:line="259"/>
            <w:ind w:left="0"/>
          </w:pPr>
          <w:hyperlink w:anchor="_DanToc9005" w:history="1">
            <w:r>
              <w:rPr>
                <w:rFonts w:ascii="Tahoma" w:hAnsi="Tahoma" w:cs="Tahoma"/>
                <w:b/>
                <w:color w:val="542A12"/>
                <w:sz w:val="20"/>
              </w:rPr>
              <w:t xml:space="preserve">6. Positioning and Placement</w:t>
            </w:r>
          </w:hyperlink>
        </w:p>
        <w:p>
          <w:pPr>
            <w:spacing w:after="40" w:line="259"/>
            <w:ind w:left="0"/>
          </w:pPr>
          <w:hyperlink w:anchor="_DanToc9006" w:history="1">
            <w:r>
              <w:rPr>
                <w:rFonts w:ascii="Tahoma" w:hAnsi="Tahoma" w:cs="Tahoma"/>
                <w:b/>
                <w:color w:val="542A12"/>
                <w:sz w:val="20"/>
              </w:rPr>
              <w:t xml:space="preserve">7. Use and Types</w:t>
            </w:r>
          </w:hyperlink>
        </w:p>
        <w:p>
          <w:pPr>
            <w:spacing w:after="40" w:line="259"/>
            <w:ind w:left="0"/>
          </w:pPr>
          <w:hyperlink w:anchor="_DanToc9007" w:history="1">
            <w:r>
              <w:rPr>
                <w:rFonts w:ascii="Tahoma" w:hAnsi="Tahoma" w:cs="Tahoma"/>
                <w:b/>
                <w:color w:val="542A12"/>
                <w:sz w:val="20"/>
              </w:rPr>
              <w:t xml:space="preserve">8. Safe Ladder Working Loads</w:t>
            </w:r>
          </w:hyperlink>
        </w:p>
        <w:p>
          <w:pPr>
            <w:spacing w:after="40" w:line="259"/>
            <w:ind w:left="0"/>
          </w:pPr>
          <w:hyperlink w:anchor="_DanToc9008" w:history="1">
            <w:r>
              <w:rPr>
                <w:rFonts w:ascii="Tahoma" w:hAnsi="Tahoma" w:cs="Tahoma"/>
                <w:b/>
                <w:color w:val="542A12"/>
                <w:sz w:val="20"/>
              </w:rPr>
              <w:t xml:space="preserve">9. Inspection, Fall Protection and Storage</w:t>
            </w:r>
          </w:hyperlink>
        </w:p>
        <w:p>
          <w:pPr>
            <w:spacing w:after="40" w:line="259"/>
            <w:ind w:left="0"/>
          </w:pPr>
          <w:hyperlink w:anchor="_DanToc9009" w:history="1">
            <w:r>
              <w:rPr>
                <w:rFonts w:ascii="Tahoma" w:hAnsi="Tahoma" w:cs="Tahoma"/>
                <w:b/>
                <w:color w:val="542A12"/>
                <w:sz w:val="20"/>
              </w:rPr>
              <w:t xml:space="preserve">10. Records</w:t>
            </w:r>
          </w:hyperlink>
        </w:p>
        <w:p>
          <w:pPr>
            <w:spacing w:after="40" w:line="259"/>
            <w:ind w:left="0"/>
          </w:pPr>
          <w:hyperlink w:anchor="_DanToc9010" w:history="1">
            <w:r>
              <w:rPr>
                <w:rFonts w:ascii="Tahoma" w:hAnsi="Tahoma" w:cs="Tahoma"/>
                <w:b/>
                <w:color w:val="542A12"/>
                <w:sz w:val="20"/>
              </w:rPr>
              <w:t xml:space="preserve">11. Related Documents</w:t>
            </w:r>
          </w:hyperlink>
        </w:p>
        <w:p>
          <w:pPr>
            <w:spacing w:after="40" w:line="259"/>
            <w:ind w:left="0"/>
          </w:pPr>
          <w:hyperlink w:anchor="_DanToc9011" w:history="1">
            <w:r>
              <w:rPr>
                <w:rFonts w:ascii="Tahoma" w:hAnsi="Tahoma" w:cs="Tahoma"/>
                <w:b/>
                <w:color w:val="542A12"/>
                <w:sz w:val="20"/>
              </w:rPr>
              <w:t xml:space="preserve">Figures and Illustrations</w:t>
            </w:r>
          </w:hyperlink>
        </w:p>
        <w:p>
          <w:pPr>
            <w:spacing w:after="40" w:line="259"/>
            <w:ind w:left="0"/>
          </w:pPr>
          <w:hyperlink w:anchor="_DanToc9012" w:history="1">
            <w:r>
              <w:rPr>
                <w:rFonts w:ascii="Tahoma" w:hAnsi="Tahoma" w:cs="Tahoma"/>
                <w:b/>
                <w:color w:val="542A12"/>
                <w:sz w:val="20"/>
              </w:rPr>
              <w:t xml:space="preserve">Revision History</w:t>
            </w:r>
          </w:hyperlink>
        </w:p>
        <w:p>
          <w:r>
            <w:fldChar w:fldCharType="end"/>
          </w:r>
        </w:p>
      </w:sdtContent>
    </w:sdt>
    <w:p>
      <w:r>
        <w:br w:type="page"/>
      </w:r>
    </w:p>
    <w:p>
      <w:pPr>
        <w:pStyle w:val="Heading1"/>
      </w:pPr>
      <w:bookmarkStart w:id="9000" w:name="_DanToc9000"/>
      <w:r>
        <w:t xml:space="preserve">1. Purpose</w:t>
      </w:r>
      <w:bookmarkEnd w:id="9000"/>
    </w:p>
    <w:p>
      <w:pPr>
        <w:spacing w:after="120" w:line="276"/>
        <w:jc w:val="both"/>
      </w:pPr>
      <w:r>
        <w:rPr>
          <w:rFonts w:ascii="Tahoma" w:cs="Tahoma" w:eastAsia="Tahoma" w:hAnsi="Tahoma"/>
          <w:sz w:val="20"/>
          <w:szCs w:val="20"/>
        </w:rPr>
        <w:t xml:space="preserve">This document provides the DAN general requirements for the correct selection, placement, use and maintenance of ladders. Except where stairways, ramps or runways are provided, ladders shall be used to give safe access to all elevations.</w:t>
      </w:r>
    </w:p>
    <w:p>
      <w:pPr>
        <w:pStyle w:val="Heading1"/>
      </w:pPr>
      <w:bookmarkStart w:id="9001" w:name="_DanToc9001"/>
      <w:r>
        <w:t xml:space="preserve">2. Scope</w:t>
      </w:r>
      <w:bookmarkEnd w:id="9001"/>
    </w:p>
    <w:p>
      <w:pPr>
        <w:spacing w:after="120" w:line="276"/>
        <w:jc w:val="both"/>
      </w:pPr>
      <w:r>
        <w:rPr>
          <w:rFonts w:ascii="Tahoma" w:cs="Tahoma" w:eastAsia="Tahoma" w:hAnsi="Tahoma"/>
          <w:sz w:val="20"/>
          <w:szCs w:val="20"/>
        </w:rPr>
        <w:t xml:space="preserve">This document applies to all portable, fixed, step, extension and job-made ladders used on DAN projects.</w:t>
      </w:r>
    </w:p>
    <w:p>
      <w:pPr>
        <w:pStyle w:val="Heading1"/>
      </w:pPr>
      <w:bookmarkStart w:id="9002" w:name="_DanToc9002"/>
      <w:r>
        <w:t xml:space="preserve">3. References</w:t>
      </w:r>
      <w:bookmarkEnd w:id="9002"/>
    </w:p>
    <w:p>
      <w:pPr>
        <w:pStyle w:val="ListParagraph"/>
        <w:numPr>
          <w:ilvl w:val="0"/>
          <w:numId w:val="2"/>
        </w:numPr>
        <w:spacing w:after="60" w:line="268"/>
        <w:jc w:val="both"/>
      </w:pPr>
      <w:r>
        <w:rPr>
          <w:rFonts w:ascii="Tahoma" w:cs="Tahoma" w:eastAsia="Tahoma" w:hAnsi="Tahoma"/>
          <w:sz w:val="20"/>
          <w:szCs w:val="20"/>
        </w:rPr>
        <w:t xml:space="preserve">ANSI or European (EN) ladder standards</w:t>
      </w:r>
    </w:p>
    <w:p>
      <w:pPr>
        <w:pStyle w:val="ListParagraph"/>
        <w:numPr>
          <w:ilvl w:val="0"/>
          <w:numId w:val="2"/>
        </w:numPr>
        <w:spacing w:after="60" w:line="268"/>
        <w:jc w:val="both"/>
      </w:pPr>
      <w:r>
        <w:rPr>
          <w:rFonts w:ascii="Tahoma" w:cs="Tahoma" w:eastAsia="Tahoma" w:hAnsi="Tahoma"/>
          <w:sz w:val="20"/>
          <w:szCs w:val="20"/>
        </w:rPr>
        <w:t xml:space="preserve">DCSM — Fall Protection and Prevention — Working at Height</w:t>
      </w:r>
    </w:p>
    <w:p>
      <w:pPr>
        <w:pStyle w:val="ListParagraph"/>
        <w:numPr>
          <w:ilvl w:val="0"/>
          <w:numId w:val="2"/>
        </w:numPr>
        <w:spacing w:after="60" w:line="268"/>
        <w:jc w:val="both"/>
      </w:pPr>
      <w:r>
        <w:rPr>
          <w:rFonts w:ascii="Tahoma" w:cs="Tahoma" w:eastAsia="Tahoma" w:hAnsi="Tahoma"/>
          <w:sz w:val="20"/>
          <w:szCs w:val="20"/>
        </w:rPr>
        <w:t xml:space="preserve">DCSM — Scaffolding</w:t>
      </w:r>
    </w:p>
    <w:p>
      <w:pPr>
        <w:pStyle w:val="Heading1"/>
      </w:pPr>
      <w:bookmarkStart w:id="9003" w:name="_DanToc9003"/>
      <w:r>
        <w:t xml:space="preserve">4. Deliverables</w:t>
      </w:r>
      <w:bookmarkEnd w:id="9003"/>
    </w:p>
    <w:p>
      <w:pPr>
        <w:pStyle w:val="ListParagraph"/>
        <w:numPr>
          <w:ilvl w:val="0"/>
          <w:numId w:val="2"/>
        </w:numPr>
        <w:spacing w:after="60" w:line="268"/>
        <w:jc w:val="both"/>
      </w:pPr>
      <w:r>
        <w:rPr>
          <w:rFonts w:ascii="Tahoma" w:cs="Tahoma" w:eastAsia="Tahoma" w:hAnsi="Tahoma"/>
          <w:sz w:val="20"/>
          <w:szCs w:val="20"/>
        </w:rPr>
        <w:t xml:space="preserve">Ladder Register (Log)</w:t>
      </w:r>
    </w:p>
    <w:p>
      <w:pPr>
        <w:pStyle w:val="ListParagraph"/>
        <w:numPr>
          <w:ilvl w:val="0"/>
          <w:numId w:val="2"/>
        </w:numPr>
        <w:spacing w:after="60" w:line="268"/>
        <w:jc w:val="both"/>
      </w:pPr>
      <w:r>
        <w:rPr>
          <w:rFonts w:ascii="Tahoma" w:cs="Tahoma" w:eastAsia="Tahoma" w:hAnsi="Tahoma"/>
          <w:sz w:val="20"/>
          <w:szCs w:val="20"/>
        </w:rPr>
        <w:t xml:space="preserve">Correct ladder selection, placement and use</w:t>
      </w:r>
    </w:p>
    <w:p>
      <w:pPr>
        <w:pStyle w:val="ListParagraph"/>
        <w:numPr>
          <w:ilvl w:val="0"/>
          <w:numId w:val="2"/>
        </w:numPr>
        <w:spacing w:after="60" w:line="268"/>
        <w:jc w:val="both"/>
      </w:pPr>
      <w:r>
        <w:rPr>
          <w:rFonts w:ascii="Tahoma" w:cs="Tahoma" w:eastAsia="Tahoma" w:hAnsi="Tahoma"/>
          <w:sz w:val="20"/>
          <w:szCs w:val="20"/>
        </w:rPr>
        <w:t xml:space="preserve">Monthly inspections</w:t>
      </w:r>
    </w:p>
    <w:p>
      <w:pPr>
        <w:pStyle w:val="Heading1"/>
      </w:pPr>
      <w:bookmarkStart w:id="9004" w:name="_DanToc9004"/>
      <w:r>
        <w:t xml:space="preserve">5. General Requirements</w:t>
      </w:r>
      <w:bookmarkEnd w:id="9004"/>
    </w:p>
    <w:p>
      <w:pPr>
        <w:pStyle w:val="ListParagraph"/>
        <w:numPr>
          <w:ilvl w:val="0"/>
          <w:numId w:val="2"/>
        </w:numPr>
        <w:spacing w:after="60" w:line="268"/>
        <w:jc w:val="both"/>
      </w:pPr>
      <w:r>
        <w:rPr>
          <w:rFonts w:ascii="Tahoma" w:cs="Tahoma" w:eastAsia="Tahoma" w:hAnsi="Tahoma"/>
          <w:sz w:val="20"/>
          <w:szCs w:val="20"/>
        </w:rPr>
        <w:t xml:space="preserve">All ladders shall meet applicable ANSI or EN standards with proper labelling; self-supporting portable ladders shall be rated to at least four times the maximum intended load.</w:t>
      </w:r>
    </w:p>
    <w:p>
      <w:pPr>
        <w:pStyle w:val="ListParagraph"/>
        <w:numPr>
          <w:ilvl w:val="0"/>
          <w:numId w:val="2"/>
        </w:numPr>
        <w:spacing w:after="60" w:line="268"/>
        <w:jc w:val="both"/>
      </w:pPr>
      <w:r>
        <w:rPr>
          <w:rFonts w:ascii="Tahoma" w:cs="Tahoma" w:eastAsia="Tahoma" w:hAnsi="Tahoma"/>
          <w:sz w:val="20"/>
          <w:szCs w:val="20"/>
        </w:rPr>
        <w:t xml:space="preserve">All ladders shall be identified, registered, tagged and inspected monthly, and inspected before each use; joints shall be tight and rungs and fittings securely attached.</w:t>
      </w:r>
    </w:p>
    <w:p>
      <w:pPr>
        <w:pStyle w:val="ListParagraph"/>
        <w:numPr>
          <w:ilvl w:val="0"/>
          <w:numId w:val="2"/>
        </w:numPr>
        <w:spacing w:after="60" w:line="268"/>
        <w:jc w:val="both"/>
      </w:pPr>
      <w:r>
        <w:rPr>
          <w:rFonts w:ascii="Tahoma" w:cs="Tahoma" w:eastAsia="Tahoma" w:hAnsi="Tahoma"/>
          <w:sz w:val="20"/>
          <w:szCs w:val="20"/>
        </w:rPr>
        <w:t xml:space="preserve">Damaged or weakened ladders (split/broken rails, missing rungs, bent hinges) shall be immediately removed from site; wooden ladders shall not be painted in a way that hides defects.</w:t>
      </w:r>
    </w:p>
    <w:p>
      <w:pPr>
        <w:pStyle w:val="ListParagraph"/>
        <w:numPr>
          <w:ilvl w:val="0"/>
          <w:numId w:val="2"/>
        </w:numPr>
        <w:spacing w:after="60" w:line="268"/>
        <w:jc w:val="both"/>
      </w:pPr>
      <w:r>
        <w:rPr>
          <w:rFonts w:ascii="Tahoma" w:cs="Tahoma" w:eastAsia="Tahoma" w:hAnsi="Tahoma"/>
          <w:sz w:val="20"/>
          <w:szCs w:val="20"/>
        </w:rPr>
        <w:t xml:space="preserve">Rungs shall be parallel, level and 25–36 cm (10–14 in) on centre; metal-ladder rungs shall be slip-resistant; ladders shall be free of oil and grease.</w:t>
      </w:r>
    </w:p>
    <w:p>
      <w:pPr>
        <w:spacing w:after="120" w:before="80"/>
      </w:pPr>
      <w:r>
        <w:rPr>
          <w:rFonts w:ascii="Tahoma" w:cs="Tahoma" w:eastAsia="Tahoma" w:hAnsi="Tahoma"/>
          <w:b/>
          <w:bCs/>
          <w:color w:val="542A12"/>
          <w:sz w:val="18"/>
          <w:szCs w:val="18"/>
        </w:rPr>
        <w:t xml:space="preserve">Note:  </w:t>
      </w:r>
      <w:r>
        <w:rPr>
          <w:rFonts w:ascii="Tahoma" w:cs="Tahoma" w:eastAsia="Tahoma" w:hAnsi="Tahoma"/>
          <w:color w:val="444444"/>
          <w:sz w:val="18"/>
          <w:szCs w:val="18"/>
        </w:rPr>
        <w:t xml:space="preserve">Only ONE person is allowed on a ladder at any time. Maintain three points of contact, face the ladder, do not carry heavy or bulky objects (use a tool belt or towline), and do not stand on the top two steps of a stepladder.</w:t>
      </w:r>
    </w:p>
    <w:p>
      <w:pPr>
        <w:pStyle w:val="Heading1"/>
      </w:pPr>
      <w:bookmarkStart w:id="9005" w:name="_DanToc9005"/>
      <w:r>
        <w:t xml:space="preserve">6. Positioning and Placement</w:t>
      </w:r>
      <w:bookmarkEnd w:id="9005"/>
    </w:p>
    <w:p>
      <w:pPr>
        <w:pStyle w:val="ListParagraph"/>
        <w:numPr>
          <w:ilvl w:val="0"/>
          <w:numId w:val="2"/>
        </w:numPr>
        <w:spacing w:after="60" w:line="268"/>
        <w:jc w:val="both"/>
      </w:pPr>
      <w:r>
        <w:rPr>
          <w:rFonts w:ascii="Tahoma" w:cs="Tahoma" w:eastAsia="Tahoma" w:hAnsi="Tahoma"/>
          <w:sz w:val="20"/>
          <w:szCs w:val="20"/>
        </w:rPr>
        <w:t xml:space="preserve">Straight and extension ladders shall be placed at a 4:1 slope and extend at least 1 m (3 ft) above the landing; bases shall rest on a firm, level surface (not boxes, blocks or barrels) and be secured or fitted with slip-resistant feet.</w:t>
      </w:r>
    </w:p>
    <w:p>
      <w:pPr>
        <w:pStyle w:val="ListParagraph"/>
        <w:numPr>
          <w:ilvl w:val="0"/>
          <w:numId w:val="2"/>
        </w:numPr>
        <w:spacing w:after="60" w:line="268"/>
        <w:jc w:val="both"/>
      </w:pPr>
      <w:r>
        <w:rPr>
          <w:rFonts w:ascii="Tahoma" w:cs="Tahoma" w:eastAsia="Tahoma" w:hAnsi="Tahoma"/>
          <w:sz w:val="20"/>
          <w:szCs w:val="20"/>
        </w:rPr>
        <w:t xml:space="preserve">Ladders shall be securely tied off at the uppermost support; where tying off is impractical, the base shall be secured or a person stationed at the base; flagmen or barricades shall protect ladders that could be struck by vehicles.</w:t>
      </w:r>
    </w:p>
    <w:p>
      <w:pPr>
        <w:pStyle w:val="ListParagraph"/>
        <w:numPr>
          <w:ilvl w:val="0"/>
          <w:numId w:val="2"/>
        </w:numPr>
        <w:spacing w:after="60" w:line="268"/>
        <w:jc w:val="both"/>
      </w:pPr>
      <w:r>
        <w:rPr>
          <w:rFonts w:ascii="Tahoma" w:cs="Tahoma" w:eastAsia="Tahoma" w:hAnsi="Tahoma"/>
          <w:sz w:val="20"/>
          <w:szCs w:val="20"/>
        </w:rPr>
        <w:t xml:space="preserve">Maintain a 30 in (76 cm) clear distance from rungs to the nearest object on the climbing side (24 in with deflector plates), 7 in (18 cm) behind the ladder, and 15 in (38 cm) each side from the centre line.</w:t>
      </w:r>
    </w:p>
    <w:p>
      <w:pPr>
        <w:pStyle w:val="ListParagraph"/>
        <w:numPr>
          <w:ilvl w:val="0"/>
          <w:numId w:val="2"/>
        </w:numPr>
        <w:spacing w:after="60" w:line="268"/>
        <w:jc w:val="both"/>
      </w:pPr>
      <w:r>
        <w:rPr>
          <w:rFonts w:ascii="Tahoma" w:cs="Tahoma" w:eastAsia="Tahoma" w:hAnsi="Tahoma"/>
          <w:sz w:val="20"/>
          <w:szCs w:val="20"/>
        </w:rPr>
        <w:t xml:space="preserve">Where a ladder is near a doorway, the door shall be locked shut or secured open with a person stationed to prevent use.</w:t>
      </w:r>
    </w:p>
    <w:p>
      <w:pPr>
        <w:pStyle w:val="Heading1"/>
      </w:pPr>
      <w:bookmarkStart w:id="9006" w:name="_DanToc9006"/>
      <w:r>
        <w:t xml:space="preserve">7. Use and Types</w:t>
      </w:r>
      <w:bookmarkEnd w:id="9006"/>
    </w:p>
    <w:p>
      <w:pPr>
        <w:pStyle w:val="ListParagraph"/>
        <w:numPr>
          <w:ilvl w:val="0"/>
          <w:numId w:val="2"/>
        </w:numPr>
        <w:spacing w:after="60" w:line="268"/>
        <w:jc w:val="both"/>
      </w:pPr>
      <w:r>
        <w:rPr>
          <w:rFonts w:ascii="Tahoma" w:cs="Tahoma" w:eastAsia="Tahoma" w:hAnsi="Tahoma"/>
          <w:sz w:val="20"/>
          <w:szCs w:val="20"/>
        </w:rPr>
        <w:t xml:space="preserve">Portable metal ladders shall carry a warning not to be used near electrical equipment; wooden or fibreglass ladders shall be used near electrical equipment; aluminium ladders shall not be used where contact with materials reacting with aluminium is likely.</w:t>
      </w:r>
    </w:p>
    <w:p>
      <w:pPr>
        <w:pStyle w:val="ListParagraph"/>
        <w:numPr>
          <w:ilvl w:val="0"/>
          <w:numId w:val="2"/>
        </w:numPr>
        <w:spacing w:after="60" w:line="268"/>
        <w:jc w:val="both"/>
      </w:pPr>
      <w:r>
        <w:rPr>
          <w:rFonts w:ascii="Tahoma" w:cs="Tahoma" w:eastAsia="Tahoma" w:hAnsi="Tahoma"/>
          <w:sz w:val="20"/>
          <w:szCs w:val="20"/>
        </w:rPr>
        <w:t xml:space="preserve">Ladder sections shall not be spliced together; hands shall be free while climbing (raise tools by rope); where work is performed more than 6 ft (1.83 m) above the lower surface, a properly anchored PFAS shall be used, or other methods (scaffold, lift) for long-duration or strenuous work.</w:t>
      </w:r>
    </w:p>
    <w:p>
      <w:pPr>
        <w:pStyle w:val="ListParagraph"/>
        <w:numPr>
          <w:ilvl w:val="0"/>
          <w:numId w:val="2"/>
        </w:numPr>
        <w:spacing w:after="60" w:line="268"/>
        <w:jc w:val="both"/>
      </w:pPr>
      <w:r>
        <w:rPr>
          <w:rFonts w:ascii="Tahoma" w:cs="Tahoma" w:eastAsia="Tahoma" w:hAnsi="Tahoma"/>
          <w:sz w:val="20"/>
          <w:szCs w:val="20"/>
        </w:rPr>
        <w:t xml:space="preserve">Stepladders shall have spreaders fully opened and locked, be used only when supported by all four legs, with steps facing the work; personnel shall not stand on the top platform, top step or pail shelf; stepladders shall not exceed 6 m (20 ft) and shall not be used as straight ladders.</w:t>
      </w:r>
    </w:p>
    <w:p>
      <w:pPr>
        <w:pStyle w:val="ListParagraph"/>
        <w:numPr>
          <w:ilvl w:val="0"/>
          <w:numId w:val="2"/>
        </w:numPr>
        <w:spacing w:after="60" w:line="268"/>
        <w:jc w:val="both"/>
      </w:pPr>
      <w:r>
        <w:rPr>
          <w:rFonts w:ascii="Tahoma" w:cs="Tahoma" w:eastAsia="Tahoma" w:hAnsi="Tahoma"/>
          <w:sz w:val="20"/>
          <w:szCs w:val="20"/>
        </w:rPr>
        <w:t xml:space="preserve">Extension-ladder section overlap shall be at least 1.2 m (4 ft) up to 11 m, and 1.5 m (5 ft) for 11–14.6 m; job-made (home-made) ladders are PROHIBITED.</w:t>
      </w:r>
    </w:p>
    <w:p>
      <w:pPr>
        <w:pStyle w:val="Heading1"/>
      </w:pPr>
      <w:bookmarkStart w:id="9007" w:name="_DanToc9007"/>
      <w:r>
        <w:t xml:space="preserve">8. Safe Ladder Working Loads</w:t>
      </w:r>
      <w:bookmarkEnd w:id="9007"/>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220"/>
        <w:gridCol w:w="2720"/>
        <w:gridCol w:w="1720"/>
      </w:tblGrid>
      <w:tr>
        <w:trPr>
          <w:tblHeader/>
        </w:trPr>
        <w:tc>
          <w:tcPr>
            <w:tcW w:type="dxa" w:w="17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Type</w:t>
            </w:r>
          </w:p>
        </w:tc>
        <w:tc>
          <w:tcPr>
            <w:tcW w:type="dxa" w:w="322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Class</w:t>
            </w:r>
          </w:p>
        </w:tc>
        <w:tc>
          <w:tcPr>
            <w:tcW w:type="dxa" w:w="272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Duty</w:t>
            </w:r>
          </w:p>
        </w:tc>
        <w:tc>
          <w:tcPr>
            <w:tcW w:type="dxa" w:w="172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Working Load (kg)</w:t>
            </w:r>
          </w:p>
        </w:tc>
      </w:tr>
      <w:tr>
        <w:tc>
          <w:tcPr>
            <w:tcW w:type="dxa" w:w="17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IAA</w:t>
            </w:r>
          </w:p>
        </w:tc>
        <w:tc>
          <w:tcPr>
            <w:tcW w:type="dxa" w:w="32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Industrial</w:t>
            </w:r>
          </w:p>
        </w:tc>
        <w:tc>
          <w:tcPr>
            <w:tcW w:type="dxa" w:w="27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Special duty</w:t>
            </w:r>
          </w:p>
        </w:tc>
        <w:tc>
          <w:tcPr>
            <w:tcW w:type="dxa" w:w="17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375</w:t>
            </w:r>
          </w:p>
        </w:tc>
      </w:tr>
      <w:tr>
        <w:tc>
          <w:tcPr>
            <w:tcW w:type="dxa" w:w="17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IA</w:t>
            </w:r>
          </w:p>
        </w:tc>
        <w:tc>
          <w:tcPr>
            <w:tcW w:type="dxa" w:w="32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Industrial</w:t>
            </w:r>
          </w:p>
        </w:tc>
        <w:tc>
          <w:tcPr>
            <w:tcW w:type="dxa" w:w="27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Heavy-duty industrial</w:t>
            </w:r>
          </w:p>
        </w:tc>
        <w:tc>
          <w:tcPr>
            <w:tcW w:type="dxa" w:w="17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300</w:t>
            </w:r>
          </w:p>
        </w:tc>
      </w:tr>
      <w:tr>
        <w:tc>
          <w:tcPr>
            <w:tcW w:type="dxa" w:w="17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w:t>
            </w:r>
          </w:p>
        </w:tc>
        <w:tc>
          <w:tcPr>
            <w:tcW w:type="dxa" w:w="32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Industrial</w:t>
            </w:r>
          </w:p>
        </w:tc>
        <w:tc>
          <w:tcPr>
            <w:tcW w:type="dxa" w:w="27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Heavy duty</w:t>
            </w:r>
          </w:p>
        </w:tc>
        <w:tc>
          <w:tcPr>
            <w:tcW w:type="dxa" w:w="17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250</w:t>
            </w:r>
          </w:p>
        </w:tc>
      </w:tr>
      <w:tr>
        <w:tc>
          <w:tcPr>
            <w:tcW w:type="dxa" w:w="17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II</w:t>
            </w:r>
          </w:p>
        </w:tc>
        <w:tc>
          <w:tcPr>
            <w:tcW w:type="dxa" w:w="32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Commercial</w:t>
            </w:r>
          </w:p>
        </w:tc>
        <w:tc>
          <w:tcPr>
            <w:tcW w:type="dxa" w:w="27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Medium duty</w:t>
            </w:r>
          </w:p>
        </w:tc>
        <w:tc>
          <w:tcPr>
            <w:tcW w:type="dxa" w:w="17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225</w:t>
            </w:r>
          </w:p>
        </w:tc>
      </w:tr>
      <w:tr>
        <w:tc>
          <w:tcPr>
            <w:tcW w:type="dxa" w:w="17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III</w:t>
            </w:r>
          </w:p>
        </w:tc>
        <w:tc>
          <w:tcPr>
            <w:tcW w:type="dxa" w:w="32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Household</w:t>
            </w:r>
          </w:p>
        </w:tc>
        <w:tc>
          <w:tcPr>
            <w:tcW w:type="dxa" w:w="27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Light duty</w:t>
            </w:r>
          </w:p>
        </w:tc>
        <w:tc>
          <w:tcPr>
            <w:tcW w:type="dxa" w:w="17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200</w:t>
            </w:r>
          </w:p>
        </w:tc>
      </w:tr>
    </w:tbl>
    <w:p>
      <w:pPr>
        <w:spacing w:after="120" w:before="80"/>
      </w:pPr>
      <w:r>
        <w:rPr>
          <w:rFonts w:ascii="Tahoma" w:cs="Tahoma" w:eastAsia="Tahoma" w:hAnsi="Tahoma"/>
          <w:b/>
          <w:bCs/>
          <w:color w:val="542A12"/>
          <w:sz w:val="18"/>
          <w:szCs w:val="18"/>
        </w:rPr>
        <w:t xml:space="preserve">Note:  </w:t>
      </w:r>
      <w:r>
        <w:rPr>
          <w:rFonts w:ascii="Tahoma" w:cs="Tahoma" w:eastAsia="Tahoma" w:hAnsi="Tahoma"/>
          <w:color w:val="444444"/>
          <w:sz w:val="18"/>
          <w:szCs w:val="18"/>
        </w:rPr>
        <w:t xml:space="preserve">Single ladders ≤ 30 ft (9.1 m); 2-section extension ladders ≤ 60 ft (18.2 m); fixed ladders ≤ 20 ft (6 m) unless fitted with a cage or fall-protection device (cages allow up to 30 ft, with offset rest platforms every 30 ft above that).</w:t>
      </w:r>
    </w:p>
    <w:p>
      <w:pPr>
        <w:pStyle w:val="Heading1"/>
      </w:pPr>
      <w:bookmarkStart w:id="9008" w:name="_DanToc9008"/>
      <w:r>
        <w:t xml:space="preserve">9. Inspection, Fall Protection and Storage</w:t>
      </w:r>
      <w:bookmarkEnd w:id="9008"/>
    </w:p>
    <w:p>
      <w:pPr>
        <w:pStyle w:val="ListParagraph"/>
        <w:numPr>
          <w:ilvl w:val="0"/>
          <w:numId w:val="2"/>
        </w:numPr>
        <w:spacing w:after="60" w:line="268"/>
        <w:jc w:val="both"/>
      </w:pPr>
      <w:r>
        <w:rPr>
          <w:rFonts w:ascii="Tahoma" w:cs="Tahoma" w:eastAsia="Tahoma" w:hAnsi="Tahoma"/>
          <w:sz w:val="20"/>
          <w:szCs w:val="20"/>
        </w:rPr>
        <w:t xml:space="preserve">Before use, personnel shall visually inspect the ladder; a defective ladder shall be tagged (green to red), reported to the Supervisor and removed from service until repaired or destroyed; an immediate inspection follows any accident, tip-over or chemical/oil exposure.</w:t>
      </w:r>
    </w:p>
    <w:p>
      <w:pPr>
        <w:pStyle w:val="ListParagraph"/>
        <w:numPr>
          <w:ilvl w:val="0"/>
          <w:numId w:val="2"/>
        </w:numPr>
        <w:spacing w:after="60" w:line="268"/>
        <w:jc w:val="both"/>
      </w:pPr>
      <w:r>
        <w:rPr>
          <w:rFonts w:ascii="Tahoma" w:cs="Tahoma" w:eastAsia="Tahoma" w:hAnsi="Tahoma"/>
          <w:sz w:val="20"/>
          <w:szCs w:val="20"/>
        </w:rPr>
        <w:t xml:space="preserve">Use 100% fall protection per the Fall Protection chapter, with appropriate platforms where ladders are used.</w:t>
      </w:r>
    </w:p>
    <w:p>
      <w:pPr>
        <w:pStyle w:val="ListParagraph"/>
        <w:numPr>
          <w:ilvl w:val="0"/>
          <w:numId w:val="2"/>
        </w:numPr>
        <w:spacing w:after="60" w:line="268"/>
        <w:jc w:val="both"/>
      </w:pPr>
      <w:r>
        <w:rPr>
          <w:rFonts w:ascii="Tahoma" w:cs="Tahoma" w:eastAsia="Tahoma" w:hAnsi="Tahoma"/>
          <w:sz w:val="20"/>
          <w:szCs w:val="20"/>
        </w:rPr>
        <w:t xml:space="preserve">The warehouse supervisor shall register all ladders and issue an inspection tag before distribution; ladders shall be stored in a well-ventilated area away from extreme heat or cold, and secured at both ends during transport.</w:t>
      </w:r>
    </w:p>
    <w:p>
      <w:pPr>
        <w:pStyle w:val="Heading1"/>
      </w:pPr>
      <w:bookmarkStart w:id="9009" w:name="_DanToc9009"/>
      <w:r>
        <w:t xml:space="preserve">10. Records</w:t>
      </w:r>
      <w:bookmarkEnd w:id="9009"/>
    </w:p>
    <w:p>
      <w:pPr>
        <w:spacing w:after="120" w:line="276"/>
        <w:jc w:val="both"/>
      </w:pPr>
      <w:r>
        <w:rPr>
          <w:rFonts w:ascii="Tahoma" w:cs="Tahoma" w:eastAsia="Tahoma" w:hAnsi="Tahoma"/>
          <w:sz w:val="20"/>
          <w:szCs w:val="20"/>
        </w:rPr>
        <w:t xml:space="preserve">A register or log of all ladders in use on the project shall be maintained and made available for review on request.</w:t>
      </w:r>
    </w:p>
    <w:p>
      <w:pPr>
        <w:pStyle w:val="Heading1"/>
      </w:pPr>
      <w:bookmarkStart w:id="9010" w:name="_DanToc9010"/>
      <w:r>
        <w:t xml:space="preserve">11. Related Documents</w:t>
      </w:r>
      <w:bookmarkEnd w:id="9010"/>
    </w:p>
    <w:p>
      <w:pPr>
        <w:pStyle w:val="ListParagraph"/>
        <w:numPr>
          <w:ilvl w:val="0"/>
          <w:numId w:val="2"/>
        </w:numPr>
        <w:spacing w:after="60" w:line="268"/>
        <w:jc w:val="both"/>
      </w:pPr>
      <w:r>
        <w:rPr>
          <w:rFonts w:ascii="Tahoma" w:cs="Tahoma" w:eastAsia="Tahoma" w:hAnsi="Tahoma"/>
          <w:sz w:val="20"/>
          <w:szCs w:val="20"/>
        </w:rPr>
        <w:t xml:space="preserve">DCSM — Fall Protection and Prevention — Working at Height</w:t>
      </w:r>
    </w:p>
    <w:p>
      <w:pPr>
        <w:pStyle w:val="ListParagraph"/>
        <w:numPr>
          <w:ilvl w:val="0"/>
          <w:numId w:val="2"/>
        </w:numPr>
        <w:spacing w:after="60" w:line="268"/>
        <w:jc w:val="both"/>
      </w:pPr>
      <w:r>
        <w:rPr>
          <w:rFonts w:ascii="Tahoma" w:cs="Tahoma" w:eastAsia="Tahoma" w:hAnsi="Tahoma"/>
          <w:sz w:val="20"/>
          <w:szCs w:val="20"/>
        </w:rPr>
        <w:t xml:space="preserve">DCSM — Scaffolding</w:t>
      </w:r>
    </w:p>
    <w:p>
      <w:pPr>
        <w:pStyle w:val="ListParagraph"/>
        <w:numPr>
          <w:ilvl w:val="0"/>
          <w:numId w:val="2"/>
        </w:numPr>
        <w:spacing w:after="60" w:line="268"/>
        <w:jc w:val="both"/>
      </w:pPr>
      <w:r>
        <w:rPr>
          <w:rFonts w:ascii="Tahoma" w:cs="Tahoma" w:eastAsia="Tahoma" w:hAnsi="Tahoma"/>
          <w:sz w:val="20"/>
          <w:szCs w:val="20"/>
        </w:rPr>
        <w:t xml:space="preserve">Ladder Register / Inspection Tag</w:t>
      </w:r>
    </w:p>
    <w:p>
      <w:pPr>
        <w:pStyle w:val="Heading1"/>
      </w:pPr>
      <w:bookmarkStart w:id="9011" w:name="_DanToc9011"/>
      <w:r>
        <w:t xml:space="preserve">Figures and Illustrations</w:t>
      </w:r>
      <w:bookmarkEnd w:id="9011"/>
    </w:p>
    <w:p>
      <w:pPr>
        <w:keepNext/>
        <w:spacing w:after="40" w:before="140"/>
        <w:jc w:val="center"/>
      </w:pPr>
      <w:r>
        <w:drawing>
          <wp:inline distT="0" distB="0" distL="0" distR="0">
            <wp:extent cx="4095750" cy="3400425"/>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95750" cy="3400425"/>
                    </a:xfrm>
                    <a:prstGeom prst="rect">
                      <a:avLst/>
                    </a:prstGeom>
                  </pic:spPr>
                </pic:pic>
              </a:graphicData>
            </a:graphic>
          </wp:inline>
        </w:drawing>
      </w:r>
    </w:p>
    <w:p>
      <w:pPr>
        <w:keepNext/>
        <w:spacing w:after="40" w:before="140"/>
        <w:jc w:val="center"/>
      </w:pPr>
      <w:r>
        <w:drawing>
          <wp:inline distT="0" distB="0" distL="0" distR="0">
            <wp:extent cx="2371725" cy="4476750"/>
            <wp:effectExtent t="0" r="0" b="0" l="0"/>
            <wp:docPr id="1" name="Figure 24-1" descr="Figure 24-1" title="Figure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371725" cy="4476750"/>
                    </a:xfrm>
                    <a:prstGeom prst="rect">
                      <a:avLst/>
                    </a:prstGeom>
                  </pic:spPr>
                </pic:pic>
              </a:graphicData>
            </a:graphic>
          </wp:inline>
        </w:drawing>
      </w:r>
    </w:p>
    <w:p>
      <w:pPr>
        <w:spacing w:after="180"/>
        <w:jc w:val="center"/>
      </w:pPr>
      <w:r>
        <w:rPr>
          <w:rFonts w:ascii="Tahoma" w:cs="Tahoma" w:eastAsia="Tahoma" w:hAnsi="Tahoma"/>
          <w:i/>
          <w:iCs/>
          <w:color w:val="542A12"/>
          <w:sz w:val="16"/>
          <w:szCs w:val="16"/>
        </w:rPr>
        <w:t xml:space="preserve">Figure 24-1</w:t>
      </w:r>
    </w:p>
    <w:p>
      <w:pPr>
        <w:keepNext/>
        <w:spacing w:after="40" w:before="140"/>
        <w:jc w:val="center"/>
      </w:pPr>
      <w:r>
        <w:drawing>
          <wp:inline distT="0" distB="0" distL="0" distR="0">
            <wp:extent cx="3705225" cy="4467225"/>
            <wp:effectExtent t="0" r="0" b="0" l="0"/>
            <wp:docPr id="1" name="Figure 24-2 Fall Arrest System" descr="Figure 24-2 Fall Arrest System" title="Figure 24-2 Fall Arrest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705225" cy="4467225"/>
                    </a:xfrm>
                    <a:prstGeom prst="rect">
                      <a:avLst/>
                    </a:prstGeom>
                  </pic:spPr>
                </pic:pic>
              </a:graphicData>
            </a:graphic>
          </wp:inline>
        </w:drawing>
      </w:r>
    </w:p>
    <w:p>
      <w:pPr>
        <w:spacing w:after="180"/>
        <w:jc w:val="center"/>
      </w:pPr>
      <w:r>
        <w:rPr>
          <w:rFonts w:ascii="Tahoma" w:cs="Tahoma" w:eastAsia="Tahoma" w:hAnsi="Tahoma"/>
          <w:i/>
          <w:iCs/>
          <w:color w:val="542A12"/>
          <w:sz w:val="16"/>
          <w:szCs w:val="16"/>
        </w:rPr>
        <w:t xml:space="preserve">Figure 24-2 Fall Arrest System</w:t>
      </w:r>
    </w:p>
    <w:p>
      <w:pPr>
        <w:pStyle w:val="Heading1"/>
      </w:pPr>
      <w:bookmarkStart w:id="9012" w:name="_DanToc9012"/>
      <w:r>
        <w:t xml:space="preserve">Revision History</w:t>
      </w:r>
      <w:bookmarkEnd w:id="9012"/>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4460"/>
        <w:gridCol w:w="2400"/>
      </w:tblGrid>
      <w:tr>
        <w:trPr>
          <w:tblHeader/>
        </w:trPr>
        <w:tc>
          <w:tcPr>
            <w:tcW w:type="dxa" w:w="10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Rev.</w:t>
            </w:r>
          </w:p>
        </w:tc>
        <w:tc>
          <w:tcPr>
            <w:tcW w:type="dxa" w:w="15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Date</w:t>
            </w:r>
          </w:p>
        </w:tc>
        <w:tc>
          <w:tcPr>
            <w:tcW w:type="dxa" w:w="4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Description of Change</w:t>
            </w:r>
          </w:p>
        </w:tc>
        <w:tc>
          <w:tcPr>
            <w:tcW w:type="dxa" w:w="24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Approved By</w:t>
            </w:r>
          </w:p>
        </w:tc>
      </w:tr>
      <w:tr>
        <w:tc>
          <w:tcPr>
            <w:tcW w:type="dxa" w:w="1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R00</w:t>
            </w:r>
          </w:p>
        </w:tc>
        <w:tc>
          <w:tcPr>
            <w:tcW w:type="dxa" w:w="15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4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Initial issue. Restructured to the DAN integrated HSSE management-system template and re-branded in accordance with the DAN Brand Book.</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Project Director</w:t>
            </w:r>
          </w:p>
        </w:tc>
      </w:tr>
      <w:tr>
        <w:tc>
          <w:tcPr>
            <w:tcW w:type="dxa" w:w="1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R01</w:t>
            </w:r>
          </w:p>
        </w:tc>
        <w:tc>
          <w:tcPr>
            <w:tcW w:type="dxa" w:w="15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4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Re-coded to the updated DAN document-numbering convention (01-000001-000000-DAN-{discipline}-{type}-{seq}).</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Project Director</w:t>
            </w:r>
          </w:p>
        </w:tc>
      </w:tr>
    </w:tbl>
    <w:sectPr>
      <w:headerReference w:type="default" r:id="rId7"/>
      <w:footerReference w:type="default" r:id="rId8"/>
      <w:pgSz w:w="12240" w:h="15840" w:orient="portrait"/>
      <w:pgMar w:top="162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3AA" w:sz="6" w:space="4"/>
      </w:pBdr>
      <w:tabs>
        <w:tab w:val="right" w:pos="9360"/>
      </w:tabs>
    </w:pPr>
    <w:r>
      <w:rPr>
        <w:rFonts w:ascii="Tahoma" w:cs="Tahoma" w:eastAsia="Tahoma" w:hAnsi="Tahoma"/>
        <w:color w:val="595959"/>
        <w:sz w:val="14"/>
        <w:szCs w:val="14"/>
      </w:rPr>
      <w:t xml:space="preserve">DCSM — Ladders</w:t>
    </w:r>
    <w:r>
      <w:rPr>
        <w:rFonts w:ascii="Tahoma" w:cs="Tahoma" w:eastAsia="Tahoma" w:hAnsi="Tahoma"/>
        <w:sz w:val="14"/>
        <w:szCs w:val="14"/>
      </w:rPr>
      <w:t xml:space="preserve">	</w:t>
    </w:r>
    <w:r>
      <w:rPr>
        <w:rFonts w:ascii="Tahoma" w:cs="Tahoma" w:eastAsia="Tahoma" w:hAnsi="Tahoma"/>
        <w:color w:val="595959"/>
        <w:sz w:val="14"/>
        <w:szCs w:val="14"/>
      </w:rPr>
      <w:t xml:space="preserve">Page </w:t>
    </w:r>
    <w:r>
      <w:rPr>
        <w:rFonts w:ascii="Tahoma" w:cs="Tahoma" w:eastAsia="Tahoma" w:hAnsi="Tahoma"/>
        <w:color w:val="595959"/>
        <w:sz w:val="14"/>
        <w:szCs w:val="14"/>
      </w:rPr>
      <w:fldChar w:fldCharType="begin"/>
      <w:instrText xml:space="preserve">PAGE</w:instrText>
      <w:fldChar w:fldCharType="separate"/>
      <w:fldChar w:fldCharType="end"/>
    </w:r>
    <w:r>
      <w:rPr>
        <w:rFonts w:ascii="Tahoma" w:cs="Tahoma" w:eastAsia="Tahoma" w:hAnsi="Tahoma"/>
        <w:color w:val="595959"/>
        <w:sz w:val="14"/>
        <w:szCs w:val="14"/>
      </w:rPr>
      <w:t xml:space="preserve"> of </w:t>
    </w:r>
    <w:r>
      <w:rPr>
        <w:rFonts w:ascii="Tahoma" w:cs="Tahoma" w:eastAsia="Tahoma" w:hAnsi="Tahoma"/>
        <w:color w:val="595959"/>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none" w:color="FFFFFF" w:sz="0"/>
            <w:left w:val="none" w:color="FFFFFF" w:sz="0"/>
            <w:bottom w:val="none" w:color="FFFFFF" w:sz="0"/>
            <w:right w:val="none" w:color="FFFFFF" w:sz="0"/>
          </w:tcBorders>
        </w:tcPr>
        <w:p>
          <w:r>
            <w:rPr>
              <w:rFonts w:ascii="Tahoma" w:cs="Tahoma" w:eastAsia="Tahoma" w:hAnsi="Tahoma"/>
              <w:b/>
              <w:bCs/>
              <w:color w:val="542A12"/>
              <w:sz w:val="22"/>
              <w:szCs w:val="22"/>
            </w:rPr>
            <w:t xml:space="preserve">DAN</w:t>
          </w:r>
          <w:r>
            <w:rPr>
              <w:rFonts w:ascii="Tahoma" w:cs="Tahoma" w:eastAsia="Tahoma" w:hAnsi="Tahoma"/>
              <w:color w:val="595959"/>
              <w:sz w:val="14"/>
              <w:szCs w:val="14"/>
            </w:rPr>
            <w:t xml:space="preserve">  |  HSSE Management System</w:t>
          </w:r>
        </w:p>
      </w:tc>
      <w:tc>
        <w:tcPr>
          <w:tcW w:type="dxa" w:w="4680"/>
          <w:tcBorders>
            <w:top w:val="none" w:color="FFFFFF" w:sz="0"/>
            <w:left w:val="none" w:color="FFFFFF" w:sz="0"/>
            <w:bottom w:val="none" w:color="FFFFFF" w:sz="0"/>
            <w:right w:val="none" w:color="FFFFFF" w:sz="0"/>
          </w:tcBorders>
        </w:tcPr>
        <w:p>
          <w:pPr>
            <w:jc w:val="right"/>
          </w:pPr>
          <w:r>
            <w:rPr>
              <w:rFonts w:ascii="Tahoma" w:cs="Tahoma" w:eastAsia="Tahoma" w:hAnsi="Tahoma"/>
              <w:color w:val="595959"/>
              <w:sz w:val="14"/>
              <w:szCs w:val="14"/>
            </w:rPr>
            <w:t xml:space="preserve">01-000001-000000-DAN-HSE-PRC-000024 · R01</w:t>
          </w:r>
        </w:p>
      </w:tc>
    </w:tr>
  </w:tbl>
  <w:p>
    <w:pPr>
      <w:pBdr>
        <w:bottom w:val="single" w:color="542A12" w:sz="6" w:space="1"/>
      </w:pBdr>
      <w:spacing w:before="40"/>
    </w:pPr>
    <w:r>
      <w:rPr>
        <w:sz w:val="2"/>
        <w:szCs w:val="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542A12"/>
      </w:rPr>
    </w:lvl>
  </w:abstractNum>
  <w:abstractNum w:abstractNumId="3" w15:restartNumberingAfterBreak="0">
    <w:multiLevelType w:val="hybridMultilevel"/>
    <w:lvl w:ilvl="0" w15:tentative="1">
      <w:start w:val="1"/>
      <w:numFmt w:val="bullet"/>
      <w:lvlText w:val="•"/>
      <w:lvlJc w:val="left"/>
      <w:pPr>
        <w:ind w:left="900" w:hanging="270"/>
      </w:pPr>
      <w:rPr>
        <w:color w:val="E68233"/>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homa" w:cs="Tahoma" w:eastAsia="Tahoma" w:hAnsi="Tahoma"/>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9CCC2" w:sz="4" w:space="4"/>
      </w:pBdr>
      <w:spacing w:after="140" w:before="280"/>
      <w:outlineLvl w:val="0"/>
    </w:pPr>
    <w:rPr>
      <w:rFonts w:ascii="Tahoma" w:cs="Tahoma" w:eastAsia="Tahoma" w:hAnsi="Tahoma"/>
      <w:b/>
      <w:bCs/>
      <w:color w:val="542A12"/>
      <w:sz w:val="26"/>
      <w:szCs w:val="26"/>
    </w:rPr>
  </w:style>
  <w:style w:type="paragraph" w:styleId="Heading2">
    <w:name w:val="Heading 2"/>
    <w:basedOn w:val="Normal"/>
    <w:next w:val="Normal"/>
    <w:qFormat/>
    <w:pPr>
      <w:spacing w:after="100" w:before="200"/>
      <w:outlineLvl w:val="1"/>
    </w:pPr>
    <w:rPr>
      <w:rFonts w:ascii="Tahoma" w:cs="Tahoma" w:eastAsia="Tahoma" w:hAnsi="Tahoma"/>
      <w:b/>
      <w:bCs/>
      <w:color w:val="B5692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1936a4fbd2c20a575d426ea593d61c06905c283.png"/><Relationship Id="rId10" Type="http://schemas.openxmlformats.org/officeDocument/2006/relationships/image" Target="media/d30c7e06d6e9a571085a3f2782f746c23b7237a7.png"/><Relationship Id="rId11" Type="http://schemas.openxmlformats.org/officeDocument/2006/relationships/image" Target="media/52d2b6746d981686be1f2bacd72d8b19da756c2f.jpg"/><Relationship Id="rId12" Type="http://schemas.openxmlformats.org/officeDocument/2006/relationships/image" Target="media/09b1e3d94e2d5c6e89d1368483e3660dbfbf1608.jp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Ladders</dc:title>
  <dc:creator>DAN HSSE Management System</dc:creator>
  <cp:lastModifiedBy>Un-named</cp:lastModifiedBy>
  <cp:revision>1</cp:revision>
  <dcterms:created xsi:type="dcterms:W3CDTF">2026-06-27T22:37:37.647Z</dcterms:created>
  <dcterms:modified xsi:type="dcterms:W3CDTF">2026-06-27T22:37:37.647Z</dcterms:modified>
</cp:coreProperties>
</file>

<file path=docProps/custom.xml><?xml version="1.0" encoding="utf-8"?>
<Properties xmlns="http://schemas.openxmlformats.org/officeDocument/2006/custom-properties" xmlns:vt="http://schemas.openxmlformats.org/officeDocument/2006/docPropsVTypes"/>
</file>