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Lifting, Rigging and Slings — Hardware</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01-000001-000000-DAN-HSE-PRC-000028</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General Requirements</w:t>
            </w:r>
          </w:hyperlink>
        </w:p>
        <w:p>
          <w:pPr>
            <w:spacing w:after="40" w:line="259"/>
            <w:ind w:left="0"/>
          </w:pPr>
          <w:hyperlink w:anchor="_DanToc9005" w:history="1">
            <w:r>
              <w:rPr>
                <w:rFonts w:ascii="Tahoma" w:hAnsi="Tahoma" w:cs="Tahoma"/>
                <w:b/>
                <w:color w:val="542A12"/>
                <w:sz w:val="20"/>
              </w:rPr>
              <w:t xml:space="preserve">6. Slings</w:t>
            </w:r>
          </w:hyperlink>
        </w:p>
        <w:p>
          <w:pPr>
            <w:spacing w:after="40" w:line="259"/>
            <w:ind w:left="360"/>
          </w:pPr>
          <w:hyperlink w:anchor="_DanToc9006" w:history="1">
            <w:r>
              <w:rPr>
                <w:rFonts w:ascii="Tahoma" w:hAnsi="Tahoma" w:cs="Tahoma"/>
                <w:color w:val="444444"/>
                <w:sz w:val="19"/>
              </w:rPr>
              <w:t xml:space="preserve">6.1 Wire-Rope and Synthetic Slings — Inspection</w:t>
            </w:r>
          </w:hyperlink>
        </w:p>
        <w:p>
          <w:pPr>
            <w:spacing w:after="40" w:line="259"/>
            <w:ind w:left="0"/>
          </w:pPr>
          <w:hyperlink w:anchor="_DanToc9007" w:history="1">
            <w:r>
              <w:rPr>
                <w:rFonts w:ascii="Tahoma" w:hAnsi="Tahoma" w:cs="Tahoma"/>
                <w:b/>
                <w:color w:val="542A12"/>
                <w:sz w:val="20"/>
              </w:rPr>
              <w:t xml:space="preserve">7. Rigging Hardware</w:t>
            </w:r>
          </w:hyperlink>
        </w:p>
        <w:p>
          <w:pPr>
            <w:spacing w:after="40" w:line="259"/>
            <w:ind w:left="0"/>
          </w:pPr>
          <w:hyperlink w:anchor="_DanToc9008" w:history="1">
            <w:r>
              <w:rPr>
                <w:rFonts w:ascii="Tahoma" w:hAnsi="Tahoma" w:cs="Tahoma"/>
                <w:b/>
                <w:color w:val="542A12"/>
                <w:sz w:val="20"/>
              </w:rPr>
              <w:t xml:space="preserve">8. Risk Assessment and Planning</w:t>
            </w:r>
          </w:hyperlink>
        </w:p>
        <w:p>
          <w:pPr>
            <w:spacing w:after="40" w:line="259"/>
            <w:ind w:left="360"/>
          </w:pPr>
          <w:hyperlink w:anchor="_DanToc9009" w:history="1">
            <w:r>
              <w:rPr>
                <w:rFonts w:ascii="Tahoma" w:hAnsi="Tahoma" w:cs="Tahoma"/>
                <w:color w:val="444444"/>
                <w:sz w:val="19"/>
              </w:rPr>
              <w:t xml:space="preserve">8.1 Roles</w:t>
            </w:r>
          </w:hyperlink>
        </w:p>
        <w:p>
          <w:pPr>
            <w:spacing w:after="40" w:line="259"/>
            <w:ind w:left="0"/>
          </w:pPr>
          <w:hyperlink w:anchor="_DanToc9010" w:history="1">
            <w:r>
              <w:rPr>
                <w:rFonts w:ascii="Tahoma" w:hAnsi="Tahoma" w:cs="Tahoma"/>
                <w:b/>
                <w:color w:val="542A12"/>
                <w:sz w:val="20"/>
              </w:rPr>
              <w:t xml:space="preserve">9. Testing and Inspection</w:t>
            </w:r>
          </w:hyperlink>
        </w:p>
        <w:p>
          <w:pPr>
            <w:spacing w:after="40" w:line="259"/>
            <w:ind w:left="0"/>
          </w:pPr>
          <w:hyperlink w:anchor="_DanToc9011" w:history="1">
            <w:r>
              <w:rPr>
                <w:rFonts w:ascii="Tahoma" w:hAnsi="Tahoma" w:cs="Tahoma"/>
                <w:b/>
                <w:color w:val="542A12"/>
                <w:sz w:val="20"/>
              </w:rPr>
              <w:t xml:space="preserve">10. Records</w:t>
            </w:r>
          </w:hyperlink>
        </w:p>
        <w:p>
          <w:pPr>
            <w:spacing w:after="40" w:line="259"/>
            <w:ind w:left="0"/>
          </w:pPr>
          <w:hyperlink w:anchor="_DanToc9012" w:history="1">
            <w:r>
              <w:rPr>
                <w:rFonts w:ascii="Tahoma" w:hAnsi="Tahoma" w:cs="Tahoma"/>
                <w:b/>
                <w:color w:val="542A12"/>
                <w:sz w:val="20"/>
              </w:rPr>
              <w:t xml:space="preserve">11. Related Documents</w:t>
            </w:r>
          </w:hyperlink>
        </w:p>
        <w:p>
          <w:pPr>
            <w:spacing w:after="40" w:line="259"/>
            <w:ind w:left="0"/>
          </w:pPr>
          <w:hyperlink w:anchor="_DanToc9013" w:history="1">
            <w:r>
              <w:rPr>
                <w:rFonts w:ascii="Tahoma" w:hAnsi="Tahoma" w:cs="Tahoma"/>
                <w:b/>
                <w:color w:val="542A12"/>
                <w:sz w:val="20"/>
              </w:rPr>
              <w:t xml:space="preserve">Figures and Illustrations</w:t>
            </w:r>
          </w:hyperlink>
        </w:p>
        <w:p>
          <w:pPr>
            <w:spacing w:after="40" w:line="259"/>
            <w:ind w:left="0"/>
          </w:pPr>
          <w:hyperlink w:anchor="_DanToc901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the requirements for assessing and performing safe lifting operations using slings and other rigging hardware, and for managing and controlling lifting operations on DAN projects.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lifting and rigging activities and to all slings, hooks, shackles, eyebolts, spreader beams and other rigging hardware used on DAN projects. Only certified Riggers may rig loads.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ASME B30.9 (slings); B30.10 (hooks); B30.20 (below-the-hook devices)</w:t>
      </w:r>
    </w:p>
    <w:p>
      <w:pPr>
        <w:pStyle w:val="ListParagraph"/>
        <w:numPr>
          <w:ilvl w:val="0"/>
          <w:numId w:val="2"/>
        </w:numPr>
        <w:spacing w:after="60" w:line="268"/>
        <w:jc w:val="both"/>
      </w:pPr>
      <w:r>
        <w:rPr>
          <w:rFonts w:ascii="Tahoma" w:cs="Tahoma" w:eastAsia="Tahoma" w:hAnsi="Tahoma"/>
          <w:sz w:val="20"/>
          <w:szCs w:val="20"/>
        </w:rPr>
        <w:t xml:space="preserve">29 CFR 1926.251</w:t>
      </w:r>
    </w:p>
    <w:p>
      <w:pPr>
        <w:pStyle w:val="ListParagraph"/>
        <w:numPr>
          <w:ilvl w:val="0"/>
          <w:numId w:val="2"/>
        </w:numPr>
        <w:spacing w:after="60" w:line="268"/>
        <w:jc w:val="both"/>
      </w:pPr>
      <w:r>
        <w:rPr>
          <w:rFonts w:ascii="Tahoma" w:cs="Tahoma" w:eastAsia="Tahoma" w:hAnsi="Tahoma"/>
          <w:sz w:val="20"/>
          <w:szCs w:val="20"/>
        </w:rPr>
        <w:t xml:space="preserve">DCSM — Cranes and Hoists; DCSM — Fall Protection</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Crane and Hoist Lifting Plans; Work Method Statements; Risk Assessments</w:t>
      </w:r>
    </w:p>
    <w:p>
      <w:pPr>
        <w:pStyle w:val="ListParagraph"/>
        <w:numPr>
          <w:ilvl w:val="0"/>
          <w:numId w:val="2"/>
        </w:numPr>
        <w:spacing w:after="60" w:line="268"/>
        <w:jc w:val="both"/>
      </w:pPr>
      <w:r>
        <w:rPr>
          <w:rFonts w:ascii="Tahoma" w:cs="Tahoma" w:eastAsia="Tahoma" w:hAnsi="Tahoma"/>
          <w:sz w:val="20"/>
          <w:szCs w:val="20"/>
        </w:rPr>
        <w:t xml:space="preserve">Sling Inspection Log; Daily (Crane) Inspection Log; Lifting Gear Register</w:t>
      </w:r>
    </w:p>
    <w:p>
      <w:pPr>
        <w:pStyle w:val="Heading1"/>
      </w:pPr>
      <w:bookmarkStart w:id="9004" w:name="_DanToc9004"/>
      <w:r>
        <w:t xml:space="preserve">5. General Requirements</w:t>
      </w:r>
      <w:bookmarkEnd w:id="9004"/>
    </w:p>
    <w:p>
      <w:pPr>
        <w:pStyle w:val="ListParagraph"/>
        <w:numPr>
          <w:ilvl w:val="0"/>
          <w:numId w:val="2"/>
        </w:numPr>
        <w:spacing w:after="60" w:line="268"/>
        <w:jc w:val="both"/>
      </w:pPr>
      <w:r>
        <w:rPr>
          <w:rFonts w:ascii="Tahoma" w:cs="Tahoma" w:eastAsia="Tahoma" w:hAnsi="Tahoma"/>
          <w:sz w:val="20"/>
          <w:szCs w:val="20"/>
        </w:rPr>
        <w:t xml:space="preserve">Lifting plans shall be prepared for all lifting activities (DAN approval for critical/heavy lifts); all Riggers shall be certified by a DAN-approved third party, and only certified Riggers may rig loads.</w:t>
      </w:r>
    </w:p>
    <w:p>
      <w:pPr>
        <w:pStyle w:val="ListParagraph"/>
        <w:numPr>
          <w:ilvl w:val="0"/>
          <w:numId w:val="2"/>
        </w:numPr>
        <w:spacing w:after="60" w:line="268"/>
        <w:jc w:val="both"/>
      </w:pPr>
      <w:r>
        <w:rPr>
          <w:rFonts w:ascii="Tahoma" w:cs="Tahoma" w:eastAsia="Tahoma" w:hAnsi="Tahoma"/>
          <w:sz w:val="20"/>
          <w:szCs w:val="20"/>
        </w:rPr>
        <w:t xml:space="preserve">All lifting gear shall have manufacturer certification and DAN-approved third-party inspection records; in-house-fabricated rigging hardware is prohibited, and no lifting equipment may enter site without current certification and tagging.</w:t>
      </w:r>
    </w:p>
    <w:p>
      <w:pPr>
        <w:pStyle w:val="ListParagraph"/>
        <w:numPr>
          <w:ilvl w:val="0"/>
          <w:numId w:val="2"/>
        </w:numPr>
        <w:spacing w:after="60" w:line="268"/>
        <w:jc w:val="both"/>
      </w:pPr>
      <w:r>
        <w:rPr>
          <w:rFonts w:ascii="Tahoma" w:cs="Tahoma" w:eastAsia="Tahoma" w:hAnsi="Tahoma"/>
          <w:sz w:val="20"/>
          <w:szCs w:val="20"/>
        </w:rPr>
        <w:t xml:space="preserve">Defective or non-compliant slings/hardware shall be recorded in the Sling Inspection Log, removed from site and destroyed; hardware in contact with sharp corners shall be padded.</w:t>
      </w:r>
    </w:p>
    <w:p>
      <w:pPr>
        <w:pStyle w:val="ListParagraph"/>
        <w:numPr>
          <w:ilvl w:val="0"/>
          <w:numId w:val="2"/>
        </w:numPr>
        <w:spacing w:after="60" w:line="268"/>
        <w:jc w:val="both"/>
      </w:pPr>
      <w:r>
        <w:rPr>
          <w:rFonts w:ascii="Tahoma" w:cs="Tahoma" w:eastAsia="Tahoma" w:hAnsi="Tahoma"/>
          <w:sz w:val="20"/>
          <w:szCs w:val="20"/>
        </w:rPr>
        <w:t xml:space="preserve">Rigging hardware shall be selected with a capacity equal to or greater than the sling SWL; all hooks shall have a safety latch and shall never be overloaded or loaded on the point; standing or walking under a suspended load is prohibited, and suspended loads shall not be left unattended.</w:t>
      </w:r>
    </w:p>
    <w:p>
      <w:pPr>
        <w:pStyle w:val="ListParagraph"/>
        <w:numPr>
          <w:ilvl w:val="0"/>
          <w:numId w:val="2"/>
        </w:numPr>
        <w:spacing w:after="60" w:line="268"/>
        <w:jc w:val="both"/>
      </w:pPr>
      <w:r>
        <w:rPr>
          <w:rFonts w:ascii="Tahoma" w:cs="Tahoma" w:eastAsia="Tahoma" w:hAnsi="Tahoma"/>
          <w:sz w:val="20"/>
          <w:szCs w:val="20"/>
        </w:rPr>
        <w:t xml:space="preserve">Slings and hardware shall be stored protected from mechanical damage, corrosives, direct sunlight, moisture, extreme heat and dust.</w:t>
      </w:r>
    </w:p>
    <w:p>
      <w:pPr>
        <w:pStyle w:val="Heading1"/>
      </w:pPr>
      <w:bookmarkStart w:id="9005" w:name="_DanToc9005"/>
      <w:r>
        <w:t xml:space="preserve">6. Slings</w:t>
      </w:r>
      <w:bookmarkEnd w:id="9005"/>
    </w:p>
    <w:p>
      <w:pPr>
        <w:pStyle w:val="ListParagraph"/>
        <w:numPr>
          <w:ilvl w:val="0"/>
          <w:numId w:val="2"/>
        </w:numPr>
        <w:spacing w:after="60" w:line="268"/>
        <w:jc w:val="both"/>
      </w:pPr>
      <w:r>
        <w:rPr>
          <w:rFonts w:ascii="Tahoma" w:cs="Tahoma" w:eastAsia="Tahoma" w:hAnsi="Tahoma"/>
          <w:sz w:val="20"/>
          <w:szCs w:val="20"/>
        </w:rPr>
        <w:t xml:space="preserve">Slings shall conform to ASME B30.9 (other hardware to B30.20), with the manufacturer’s SWL and serial number clearly marked and a durable identification tag; a job-site sling log shall be maintained.</w:t>
      </w:r>
    </w:p>
    <w:p>
      <w:pPr>
        <w:pStyle w:val="ListParagraph"/>
        <w:numPr>
          <w:ilvl w:val="0"/>
          <w:numId w:val="2"/>
        </w:numPr>
        <w:spacing w:after="60" w:line="268"/>
        <w:jc w:val="both"/>
      </w:pPr>
      <w:r>
        <w:rPr>
          <w:rFonts w:ascii="Tahoma" w:cs="Tahoma" w:eastAsia="Tahoma" w:hAnsi="Tahoma"/>
          <w:sz w:val="20"/>
          <w:szCs w:val="20"/>
        </w:rPr>
        <w:t xml:space="preserve">Slings shall not be modified, repaired, shortened or lengthened; the recommended safe lifting angle is 60° above horizontal, and angles less than 30° shall not be used.</w:t>
      </w:r>
    </w:p>
    <w:p>
      <w:pPr>
        <w:pStyle w:val="ListParagraph"/>
        <w:numPr>
          <w:ilvl w:val="0"/>
          <w:numId w:val="2"/>
        </w:numPr>
        <w:spacing w:after="60" w:line="268"/>
        <w:jc w:val="both"/>
      </w:pPr>
      <w:r>
        <w:rPr>
          <w:rFonts w:ascii="Tahoma" w:cs="Tahoma" w:eastAsia="Tahoma" w:hAnsi="Tahoma"/>
          <w:sz w:val="20"/>
          <w:szCs w:val="20"/>
        </w:rPr>
        <w:t xml:space="preserve">Multi-leg slings shall be rated for the most heavily loaded leg (not an equal share); the force on each sling shall be less than its rated SWL after adjustment for the lifting angle.</w:t>
      </w:r>
    </w:p>
    <w:p>
      <w:pPr>
        <w:pStyle w:val="ListParagraph"/>
        <w:numPr>
          <w:ilvl w:val="0"/>
          <w:numId w:val="2"/>
        </w:numPr>
        <w:spacing w:after="60" w:line="268"/>
        <w:jc w:val="both"/>
      </w:pPr>
      <w:r>
        <w:rPr>
          <w:rFonts w:ascii="Tahoma" w:cs="Tahoma" w:eastAsia="Tahoma" w:hAnsi="Tahoma"/>
          <w:sz w:val="20"/>
          <w:szCs w:val="20"/>
        </w:rPr>
        <w:t xml:space="preserve">Nylon slings shall not be wrapped over sharp corners or used when worn or frayed, and shall never be knotted (knotting reduces strength by 50%).</w:t>
      </w:r>
    </w:p>
    <w:p>
      <w:pPr>
        <w:pStyle w:val="Heading2"/>
      </w:pPr>
      <w:bookmarkStart w:id="9006" w:name="_DanToc9006"/>
      <w:r>
        <w:t xml:space="preserve">6.1 Wire-Rope and Synthetic Slings — Inspection</w:t>
      </w:r>
      <w:bookmarkEnd w:id="9006"/>
    </w:p>
    <w:p>
      <w:pPr>
        <w:spacing w:after="120" w:line="276"/>
        <w:jc w:val="both"/>
      </w:pPr>
      <w:r>
        <w:rPr>
          <w:rFonts w:ascii="Tahoma" w:cs="Tahoma" w:eastAsia="Tahoma" w:hAnsi="Tahoma"/>
          <w:sz w:val="20"/>
          <w:szCs w:val="20"/>
        </w:rPr>
        <w:t xml:space="preserve">Eyes for wire-rope slings shall be the Flemish-eye type; homemade slings, fold-back eyes and aluminium ferrules are prohibited. The Rigger shall visually inspect before use and reject slings showing: missing/illegible tags, broken wires, abrasion exceeding 1/3 the original diameter, crushed strands, kinking or birdcaging, heat damage, cracked end attachments, bent/open eyes or severe corrosion. Synthetic webbed slings (stitched only) shall be rejected for chemical/thermal burns, fibre breakage exposing the warning strand, snags/punctures/cuts, broken stitches or damaged fittings.</w:t>
      </w:r>
    </w:p>
    <w:p>
      <w:pPr>
        <w:pStyle w:val="Heading1"/>
      </w:pPr>
      <w:bookmarkStart w:id="9007" w:name="_DanToc9007"/>
      <w:r>
        <w:t xml:space="preserve">7. Rigging Hardware</w:t>
      </w:r>
      <w:bookmarkEnd w:id="9007"/>
    </w:p>
    <w:p>
      <w:pPr>
        <w:spacing w:after="120" w:line="276"/>
        <w:jc w:val="both"/>
      </w:pPr>
      <w:r>
        <w:rPr>
          <w:rFonts w:ascii="Tahoma" w:cs="Tahoma" w:eastAsia="Tahoma" w:hAnsi="Tahoma"/>
          <w:sz w:val="20"/>
          <w:szCs w:val="20"/>
        </w:rPr>
        <w:t xml:space="preserve">Hooks (ASME B30.10) shall have a self-closing safety latch or be moused, with loads only on the bow; reject hooks with cracks, more than 10° twist or throat opening stretched more than 15%. Shackles shall be fully closed/bolted, marked with SWL, and use the correct pin (never rebar or a mild-steel bolt). Shoulderless eyebolts are for vertical lifts only; shouldered eyebolts may be loaded above 45° in the plane of the eye; safety hoist rings shall be torqued with a calibrated wrench. Wire-rope clips shall not be used to make lifting slings; spreader beams (ASME B30.20) shall be identified and certified. Come-alongs and chain falls shall have working latches, marked rated capacity, and shall not use cheater bars or be straddled/connected to increase capacity.</w:t>
      </w:r>
    </w:p>
    <w:p>
      <w:pPr>
        <w:pStyle w:val="Heading1"/>
      </w:pPr>
      <w:bookmarkStart w:id="9008" w:name="_DanToc9008"/>
      <w:r>
        <w:t xml:space="preserve">8. Risk Assessment and Planning</w:t>
      </w:r>
      <w:bookmarkEnd w:id="9008"/>
    </w:p>
    <w:p>
      <w:pPr>
        <w:spacing w:after="120" w:line="276"/>
        <w:jc w:val="both"/>
      </w:pPr>
      <w:r>
        <w:rPr>
          <w:rFonts w:ascii="Tahoma" w:cs="Tahoma" w:eastAsia="Tahoma" w:hAnsi="Tahoma"/>
          <w:sz w:val="20"/>
          <w:szCs w:val="20"/>
        </w:rPr>
        <w:t xml:space="preserve">Non-routine lifts shall undergo a risk assessment, and routine lifts shall be reviewed regularly; the assessment shall consider working under suspended loads, attaching/detaching, overloading, overturning, communication breakdown (especially blind lifts), the environment, proximity hazards, equipment condition and personnel competence. The lift planner shall have adequate knowledge and experience; the plan shall address all identified risks and identify the resources, procedures and responsibilities for a safe operation.</w:t>
      </w:r>
    </w:p>
    <w:p>
      <w:pPr>
        <w:pStyle w:val="Heading2"/>
      </w:pPr>
      <w:bookmarkStart w:id="9009" w:name="_DanToc9009"/>
      <w:r>
        <w:t xml:space="preserve">8.1 Roles</w:t>
      </w:r>
      <w:bookmarkEnd w:id="9009"/>
    </w:p>
    <w:p>
      <w:pPr>
        <w:pStyle w:val="ListParagraph"/>
        <w:numPr>
          <w:ilvl w:val="0"/>
          <w:numId w:val="2"/>
        </w:numPr>
        <w:spacing w:after="60" w:line="268"/>
        <w:jc w:val="both"/>
      </w:pPr>
      <w:r>
        <w:rPr>
          <w:rFonts w:ascii="Tahoma" w:cs="Tahoma" w:eastAsia="Tahoma" w:hAnsi="Tahoma"/>
          <w:sz w:val="20"/>
          <w:szCs w:val="20"/>
        </w:rPr>
        <w:t xml:space="preserve">Crane Operators shall maintain the daily inspection log, stop work on any defect, be licensed and competent, and ensure swing-radius barricades; CONTRACTORS shall not require an Operator to use a defective crane.</w:t>
      </w:r>
    </w:p>
    <w:p>
      <w:pPr>
        <w:pStyle w:val="ListParagraph"/>
        <w:numPr>
          <w:ilvl w:val="0"/>
          <w:numId w:val="2"/>
        </w:numPr>
        <w:spacing w:after="60" w:line="268"/>
        <w:jc w:val="both"/>
      </w:pPr>
      <w:r>
        <w:rPr>
          <w:rFonts w:ascii="Tahoma" w:cs="Tahoma" w:eastAsia="Tahoma" w:hAnsi="Tahoma"/>
          <w:sz w:val="20"/>
          <w:szCs w:val="20"/>
        </w:rPr>
        <w:t xml:space="preserve">Banksmen/Riggers shall be certified, able to determine load weight and centre of gravity, inspect and quarantine defective gear, use correct slinging techniques and hand signals, use a tag line, and be identified by a red helmet. No lift shall take place without an appointed, identifiable Banksman.</w:t>
      </w:r>
    </w:p>
    <w:p>
      <w:pPr>
        <w:pStyle w:val="Heading1"/>
      </w:pPr>
      <w:bookmarkStart w:id="9010" w:name="_DanToc9010"/>
      <w:r>
        <w:t xml:space="preserve">9. Testing and Inspection</w:t>
      </w:r>
      <w:bookmarkEnd w:id="9010"/>
    </w:p>
    <w:p>
      <w:pPr>
        <w:pStyle w:val="ListParagraph"/>
        <w:numPr>
          <w:ilvl w:val="0"/>
          <w:numId w:val="2"/>
        </w:numPr>
        <w:spacing w:after="60" w:line="268"/>
        <w:jc w:val="both"/>
      </w:pPr>
      <w:r>
        <w:rPr>
          <w:rFonts w:ascii="Tahoma" w:cs="Tahoma" w:eastAsia="Tahoma" w:hAnsi="Tahoma"/>
          <w:sz w:val="20"/>
          <w:szCs w:val="20"/>
        </w:rPr>
        <w:t xml:space="preserve">All lifting equipment shall be thoroughly examined and tested annually by a DAN-approved third party; the Rigger shall visually inspect slings and hardware before each use, and a certified Rigger shall inspect monthly, recording results in the Lifting Register.</w:t>
      </w:r>
    </w:p>
    <w:p>
      <w:pPr>
        <w:pStyle w:val="ListParagraph"/>
        <w:numPr>
          <w:ilvl w:val="0"/>
          <w:numId w:val="2"/>
        </w:numPr>
        <w:spacing w:after="60" w:line="268"/>
        <w:jc w:val="both"/>
      </w:pPr>
      <w:r>
        <w:rPr>
          <w:rFonts w:ascii="Tahoma" w:cs="Tahoma" w:eastAsia="Tahoma" w:hAnsi="Tahoma"/>
          <w:sz w:val="20"/>
          <w:szCs w:val="20"/>
        </w:rPr>
        <w:t xml:space="preserve">Defective equipment shall be reported immediately, withdrawn from service, and not re-used until repaired; an authenticated written report shall be submitted within 28 days. Any defective lifting equipment shall be quarantined, withdrawn from the register, cut into pieces and discarded.</w:t>
      </w:r>
    </w:p>
    <w:p>
      <w:pPr>
        <w:pStyle w:val="Heading1"/>
      </w:pPr>
      <w:bookmarkStart w:id="9011" w:name="_DanToc9011"/>
      <w:r>
        <w:t xml:space="preserve">10. Records</w:t>
      </w:r>
      <w:bookmarkEnd w:id="9011"/>
    </w:p>
    <w:p>
      <w:pPr>
        <w:spacing w:after="120" w:line="276"/>
        <w:jc w:val="both"/>
      </w:pPr>
      <w:r>
        <w:rPr>
          <w:rFonts w:ascii="Tahoma" w:cs="Tahoma" w:eastAsia="Tahoma" w:hAnsi="Tahoma"/>
          <w:sz w:val="20"/>
          <w:szCs w:val="20"/>
        </w:rPr>
        <w:t xml:space="preserve">The Lifting Gear Register, Sling Inspection Log, certifications and inspection reports shall be maintained on-site and made available to DAN on request.</w:t>
      </w:r>
    </w:p>
    <w:p>
      <w:pPr>
        <w:pStyle w:val="Heading1"/>
      </w:pPr>
      <w:bookmarkStart w:id="9012" w:name="_DanToc9012"/>
      <w:r>
        <w:t xml:space="preserve">11. Related Documents</w:t>
      </w:r>
      <w:bookmarkEnd w:id="9012"/>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Sling Inspection Log; Lifting Gear Register</w:t>
      </w:r>
    </w:p>
    <w:p>
      <w:pPr>
        <w:pStyle w:val="Heading1"/>
      </w:pPr>
      <w:bookmarkStart w:id="9013" w:name="_DanToc9013"/>
      <w:r>
        <w:t xml:space="preserve">Figures and Illustrations</w:t>
      </w:r>
      <w:bookmarkEnd w:id="9013"/>
    </w:p>
    <w:p>
      <w:pPr>
        <w:keepNext/>
        <w:spacing w:after="40" w:before="140"/>
        <w:jc w:val="center"/>
      </w:pPr>
      <w:r>
        <w:drawing>
          <wp:inline distT="0" distB="0" distL="0" distR="0">
            <wp:extent cx="4095750" cy="2009775"/>
            <wp:effectExtent t="0" r="0" b="0" l="0"/>
            <wp:docPr id="1" name="Figure 28-1 Sling Identification Tag b. Sling Description" descr="Figure 28-1 Sling Identification Tag b. Sling Description" title="Figure 28-1 Sling Identification Tag b. Sling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0097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28-1 Sling Identification Tag b. Sling Description</w:t>
      </w:r>
    </w:p>
    <w:p>
      <w:pPr>
        <w:keepNext/>
        <w:spacing w:after="40" w:before="140"/>
        <w:jc w:val="center"/>
      </w:pPr>
      <w:r>
        <w:drawing>
          <wp:inline distT="0" distB="0" distL="0" distR="0">
            <wp:extent cx="3562350" cy="4276725"/>
            <wp:effectExtent t="0" r="0" b="0" l="0"/>
            <wp:docPr id="1" name="Figure 28-2 Flemish Eye and Pressed Metal Sleeve" descr="Figure 28-2 Flemish Eye and Pressed Metal Sleeve" title="Figure 28-2 Flemish Eye and Pressed Metal Sle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42767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28-2 Flemish Eye and Pressed Metal Sleeve</w:t>
      </w:r>
    </w:p>
    <w:p>
      <w:pPr>
        <w:keepNext/>
        <w:spacing w:after="40" w:before="140"/>
        <w:jc w:val="center"/>
      </w:pPr>
      <w:r>
        <w:drawing>
          <wp:inline distT="0" distB="0" distL="0" distR="0">
            <wp:extent cx="4095750" cy="2381250"/>
            <wp:effectExtent t="0" r="0" b="0" l="0"/>
            <wp:docPr id="1" name="Figure 28-4 Examples of Wire Rope Damage" descr="Figure 28-4 Examples of Wire Rope Damage" title="Figure 28-4 Examples of Wire Rope Da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812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28-4 Examples of Wire Rope Damage</w:t>
      </w:r>
    </w:p>
    <w:p>
      <w:pPr>
        <w:keepNext/>
        <w:spacing w:after="40" w:before="140"/>
        <w:jc w:val="center"/>
      </w:pPr>
      <w:r>
        <w:drawing>
          <wp:inline distT="0" distB="0" distL="0" distR="0">
            <wp:extent cx="4095750" cy="3362325"/>
            <wp:effectExtent t="0" r="0" b="0" l="0"/>
            <wp:docPr id="1" name="Figure 28-6 Examples of Webbing Damage" descr="Figure 28-6 Examples of Webbing Damage" title="Figure 28-6 Examples of Webbing Da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3623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28-6 Examples of Webbing Damage</w:t>
      </w:r>
    </w:p>
    <w:p>
      <w:pPr>
        <w:keepNext/>
        <w:spacing w:after="40" w:before="140"/>
        <w:jc w:val="center"/>
      </w:pPr>
      <w:r>
        <w:drawing>
          <wp:inline distT="0" distB="0" distL="0" distR="0">
            <wp:extent cx="1743075" cy="27241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43075" cy="2724150"/>
                    </a:xfrm>
                    <a:prstGeom prst="rect">
                      <a:avLst/>
                    </a:prstGeom>
                  </pic:spPr>
                </pic:pic>
              </a:graphicData>
            </a:graphic>
          </wp:inline>
        </w:drawing>
      </w:r>
    </w:p>
    <w:p>
      <w:pPr>
        <w:keepNext/>
        <w:spacing w:after="40" w:before="140"/>
        <w:jc w:val="center"/>
      </w:pPr>
      <w:r>
        <w:drawing>
          <wp:inline distT="0" distB="0" distL="0" distR="0">
            <wp:extent cx="1390650" cy="25622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90650" cy="2562225"/>
                    </a:xfrm>
                    <a:prstGeom prst="rect">
                      <a:avLst/>
                    </a:prstGeom>
                  </pic:spPr>
                </pic:pic>
              </a:graphicData>
            </a:graphic>
          </wp:inline>
        </w:drawing>
      </w:r>
    </w:p>
    <w:p>
      <w:pPr>
        <w:keepNext/>
        <w:spacing w:after="40" w:before="140"/>
        <w:jc w:val="center"/>
      </w:pPr>
      <w:r>
        <w:drawing>
          <wp:inline distT="0" distB="0" distL="0" distR="0">
            <wp:extent cx="1533525" cy="30003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33525" cy="3000375"/>
                    </a:xfrm>
                    <a:prstGeom prst="rect">
                      <a:avLst/>
                    </a:prstGeom>
                  </pic:spPr>
                </pic:pic>
              </a:graphicData>
            </a:graphic>
          </wp:inline>
        </w:drawing>
      </w:r>
    </w:p>
    <w:p>
      <w:pPr>
        <w:keepNext/>
        <w:spacing w:after="40" w:before="140"/>
        <w:jc w:val="center"/>
      </w:pPr>
      <w:r>
        <w:drawing>
          <wp:inline distT="0" distB="0" distL="0" distR="0">
            <wp:extent cx="1333500" cy="21812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33500" cy="2181225"/>
                    </a:xfrm>
                    <a:prstGeom prst="rect">
                      <a:avLst/>
                    </a:prstGeom>
                  </pic:spPr>
                </pic:pic>
              </a:graphicData>
            </a:graphic>
          </wp:inline>
        </w:drawing>
      </w:r>
    </w:p>
    <w:p>
      <w:pPr>
        <w:keepNext/>
        <w:spacing w:after="40" w:before="140"/>
        <w:jc w:val="center"/>
      </w:pPr>
      <w:r>
        <w:drawing>
          <wp:inline distT="0" distB="0" distL="0" distR="0">
            <wp:extent cx="1971675" cy="1981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71675" cy="1981200"/>
                    </a:xfrm>
                    <a:prstGeom prst="rect">
                      <a:avLst/>
                    </a:prstGeom>
                  </pic:spPr>
                </pic:pic>
              </a:graphicData>
            </a:graphic>
          </wp:inline>
        </w:drawing>
      </w:r>
    </w:p>
    <w:p>
      <w:pPr>
        <w:keepNext/>
        <w:spacing w:after="40" w:before="140"/>
        <w:jc w:val="center"/>
      </w:pPr>
      <w:r>
        <w:drawing>
          <wp:inline distT="0" distB="0" distL="0" distR="0">
            <wp:extent cx="1809750" cy="2047875"/>
            <wp:effectExtent t="0" r="0" b="0" l="0"/>
            <wp:docPr id="1" name="Figure 28-7 Sling Loading and Crane Hooks" descr="Figure 28-7 Sling Loading and Crane Hooks" title="Figure 28-7 Sling Loading and Crane H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20478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28-7 Sling Loading and Crane Hooks</w:t>
      </w:r>
    </w:p>
    <w:p>
      <w:pPr>
        <w:keepNext/>
        <w:spacing w:after="40" w:before="140"/>
        <w:jc w:val="center"/>
      </w:pPr>
      <w:r>
        <w:drawing>
          <wp:inline distT="0" distB="0" distL="0" distR="0">
            <wp:extent cx="2543175" cy="1724025"/>
            <wp:effectExtent t="0" r="0" b="0" l="0"/>
            <wp:docPr id="1" name="Figure 28-8 Shackle is no evidence of the following:" descr="Figure 28-8 Shackle is no evidence of the following:" title="Figure 28-8 Shackle is no evidence of the foll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43175" cy="17240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28-8 Shackle is no evidence of the following:</w:t>
      </w:r>
    </w:p>
    <w:p>
      <w:pPr>
        <w:keepNext/>
        <w:spacing w:after="40" w:before="140"/>
        <w:jc w:val="center"/>
      </w:pPr>
      <w:r>
        <w:drawing>
          <wp:inline distT="0" distB="0" distL="0" distR="0">
            <wp:extent cx="3000375" cy="1771650"/>
            <wp:effectExtent t="0" r="0" b="0" l="0"/>
            <wp:docPr id="1" name="Figure 28-9 Eye Bolts / Hoist Ring" descr="Figure 28-9 Eye Bolts / Hoist Ring" title="Figure 28-9 Eye Bolts / Hoist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00375" cy="17716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28-9 Eye Bolts / Hoist Ring</w:t>
      </w:r>
    </w:p>
    <w:p>
      <w:pPr>
        <w:keepNext/>
        <w:spacing w:after="40" w:before="140"/>
        <w:jc w:val="center"/>
      </w:pPr>
      <w:r>
        <w:drawing>
          <wp:inline distT="0" distB="0" distL="0" distR="0">
            <wp:extent cx="2600325" cy="4476750"/>
            <wp:effectExtent t="0" r="0" b="0" l="0"/>
            <wp:docPr id="1" name="Figure 28-10 Come-Along be used." descr="Figure 28-10 Come-Along be used." title="Figure 28-10 Come-Along be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0032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28-10 Come-Along be used.</w:t>
      </w:r>
    </w:p>
    <w:p>
      <w:pPr>
        <w:keepNext/>
        <w:spacing w:after="40" w:before="140"/>
        <w:jc w:val="center"/>
      </w:pPr>
      <w:r>
        <w:drawing>
          <wp:inline distT="0" distB="0" distL="0" distR="0">
            <wp:extent cx="4010025" cy="15335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10025" cy="1533525"/>
                    </a:xfrm>
                    <a:prstGeom prst="rect">
                      <a:avLst/>
                    </a:prstGeom>
                  </pic:spPr>
                </pic:pic>
              </a:graphicData>
            </a:graphic>
          </wp:inline>
        </w:drawing>
      </w:r>
    </w:p>
    <w:p>
      <w:pPr>
        <w:keepNext/>
        <w:spacing w:after="40" w:before="140"/>
        <w:jc w:val="center"/>
      </w:pPr>
      <w:r>
        <w:drawing>
          <wp:inline distT="0" distB="0" distL="0" distR="0">
            <wp:extent cx="4010025" cy="1457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10025" cy="1457325"/>
                    </a:xfrm>
                    <a:prstGeom prst="rect">
                      <a:avLst/>
                    </a:prstGeom>
                  </pic:spPr>
                </pic:pic>
              </a:graphicData>
            </a:graphic>
          </wp:inline>
        </w:drawing>
      </w:r>
    </w:p>
    <w:p>
      <w:pPr>
        <w:keepNext/>
        <w:spacing w:after="40" w:before="140"/>
        <w:jc w:val="center"/>
      </w:pPr>
      <w:r>
        <w:drawing>
          <wp:inline distT="0" distB="0" distL="0" distR="0">
            <wp:extent cx="4010025" cy="1314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10025" cy="1314450"/>
                    </a:xfrm>
                    <a:prstGeom prst="rect">
                      <a:avLst/>
                    </a:prstGeom>
                  </pic:spPr>
                </pic:pic>
              </a:graphicData>
            </a:graphic>
          </wp:inline>
        </w:drawing>
      </w:r>
    </w:p>
    <w:p>
      <w:pPr>
        <w:keepNext/>
        <w:spacing w:after="40" w:before="140"/>
        <w:jc w:val="center"/>
      </w:pPr>
      <w:r>
        <w:drawing>
          <wp:inline distT="0" distB="0" distL="0" distR="0">
            <wp:extent cx="876300" cy="4476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76300" cy="4476750"/>
                    </a:xfrm>
                    <a:prstGeom prst="rect">
                      <a:avLst/>
                    </a:prstGeom>
                  </pic:spPr>
                </pic:pic>
              </a:graphicData>
            </a:graphic>
          </wp:inline>
        </w:drawing>
      </w:r>
    </w:p>
    <w:p>
      <w:pPr>
        <w:pStyle w:val="Heading1"/>
      </w:pPr>
      <w:bookmarkStart w:id="9014" w:name="_DanToc9014"/>
      <w:r>
        <w:t xml:space="preserve">Revision History</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Lifting, Rigging and Slings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01-000001-000000-DAN-HSE-PRC-000028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b89c5a12d8457c306e50edaade37fc0b53de660f.png"/><Relationship Id="rId11" Type="http://schemas.openxmlformats.org/officeDocument/2006/relationships/image" Target="media/dbb46a64ed43e9291280461da7068b4cdcbf8b42.png"/><Relationship Id="rId12" Type="http://schemas.openxmlformats.org/officeDocument/2006/relationships/image" Target="media/dcb0e830209d1a17cb2e911963c07de6378f050c.png"/><Relationship Id="rId13" Type="http://schemas.openxmlformats.org/officeDocument/2006/relationships/image" Target="media/ead063aecc1e209dbb2ae5965b5e88137a29eb50.png"/><Relationship Id="rId14" Type="http://schemas.openxmlformats.org/officeDocument/2006/relationships/image" Target="media/6194e5ab8f0cc428967c25b0a64a6e0358aa8fda.png"/><Relationship Id="rId15" Type="http://schemas.openxmlformats.org/officeDocument/2006/relationships/image" Target="media/050f916a26aa14a4f3903219c94fdbfa39f03f10.png"/><Relationship Id="rId16" Type="http://schemas.openxmlformats.org/officeDocument/2006/relationships/image" Target="media/245906a36c821a73f7501e957661a807549796a3.png"/><Relationship Id="rId17" Type="http://schemas.openxmlformats.org/officeDocument/2006/relationships/image" Target="media/f9db4adcbb955d57a86c2093b13a24d523eec119.png"/><Relationship Id="rId18" Type="http://schemas.openxmlformats.org/officeDocument/2006/relationships/image" Target="media/1f18b3866702a71fd5931091a75c05b3c5dea500.png"/><Relationship Id="rId19" Type="http://schemas.openxmlformats.org/officeDocument/2006/relationships/image" Target="media/4c10ae2ea110103ec3e573f767018b6ff85981b4.png"/><Relationship Id="rId20" Type="http://schemas.openxmlformats.org/officeDocument/2006/relationships/image" Target="media/277f4f15906c78c931798d1da3c45b12e38d8144.png"/><Relationship Id="rId21" Type="http://schemas.openxmlformats.org/officeDocument/2006/relationships/image" Target="media/7012343057bd1910cd74d4b947b999aad612bb7c.png"/><Relationship Id="rId22" Type="http://schemas.openxmlformats.org/officeDocument/2006/relationships/image" Target="media/765a4fbfa95ec4c1ffdd7efeadfb358a5f94a814.png"/><Relationship Id="rId23" Type="http://schemas.openxmlformats.org/officeDocument/2006/relationships/image" Target="media/0c47da7fec9883844c70ce1f0a6fdb38c776ed68.png"/><Relationship Id="rId24" Type="http://schemas.openxmlformats.org/officeDocument/2006/relationships/image" Target="media/e5a9f8fca5d4b21d6bc6aa9e204ac02cf98203ed.png"/><Relationship Id="rId25" Type="http://schemas.openxmlformats.org/officeDocument/2006/relationships/image" Target="media/9c0fb5213b93082e8a7b3d59ec75e835022a5ae7.jpg"/><Relationship Id="rId26" Type="http://schemas.openxmlformats.org/officeDocument/2006/relationships/image" Target="media/f6608259f8f2c95b677a0327977e9933e264b82b.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Lifting, Rigging and Slings — Hardware</dc:title>
  <dc:creator>DAN HSSE Management System</dc:creator>
  <cp:lastModifiedBy>Un-named</cp:lastModifiedBy>
  <cp:revision>1</cp:revision>
  <dcterms:created xsi:type="dcterms:W3CDTF">2026-06-27T22:37:37.977Z</dcterms:created>
  <dcterms:modified xsi:type="dcterms:W3CDTF">2026-06-27T22:37:37.977Z</dcterms:modified>
</cp:coreProperties>
</file>

<file path=docProps/custom.xml><?xml version="1.0" encoding="utf-8"?>
<Properties xmlns="http://schemas.openxmlformats.org/officeDocument/2006/custom-properties" xmlns:vt="http://schemas.openxmlformats.org/officeDocument/2006/docPropsVTypes"/>
</file>