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Excavations, Shoring and Backfilling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01-000001-000000-DAN-HSE-PRC-000029</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Project Excavation Plan and Permits</w:t>
            </w:r>
          </w:hyperlink>
        </w:p>
        <w:p>
          <w:pPr>
            <w:spacing w:after="40" w:line="259"/>
            <w:ind w:left="0"/>
          </w:pPr>
          <w:hyperlink w:anchor="_DanToc9005" w:history="1">
            <w:r>
              <w:rPr>
                <w:rFonts w:ascii="Tahoma" w:hAnsi="Tahoma" w:cs="Tahoma"/>
                <w:b/>
                <w:color w:val="542A12"/>
                <w:sz w:val="20"/>
              </w:rPr>
              <w:t xml:space="preserve">6. Underground Utilities</w:t>
            </w:r>
          </w:hyperlink>
        </w:p>
        <w:p>
          <w:pPr>
            <w:spacing w:after="40" w:line="259"/>
            <w:ind w:left="0"/>
          </w:pPr>
          <w:hyperlink w:anchor="_DanToc9006" w:history="1">
            <w:r>
              <w:rPr>
                <w:rFonts w:ascii="Tahoma" w:hAnsi="Tahoma" w:cs="Tahoma"/>
                <w:b/>
                <w:color w:val="542A12"/>
                <w:sz w:val="20"/>
              </w:rPr>
              <w:t xml:space="preserve">7. Protection of Personnel</w:t>
            </w:r>
          </w:hyperlink>
        </w:p>
        <w:p>
          <w:pPr>
            <w:spacing w:after="40" w:line="259"/>
            <w:ind w:left="360"/>
          </w:pPr>
          <w:hyperlink w:anchor="_DanToc9007" w:history="1">
            <w:r>
              <w:rPr>
                <w:rFonts w:ascii="Tahoma" w:hAnsi="Tahoma" w:cs="Tahoma"/>
                <w:color w:val="444444"/>
                <w:sz w:val="19"/>
              </w:rPr>
              <w:t xml:space="preserve">7.1 Surface Encumbrances, Spoil and Traffic</w:t>
            </w:r>
          </w:hyperlink>
        </w:p>
        <w:p>
          <w:pPr>
            <w:spacing w:after="40" w:line="259"/>
            <w:ind w:left="360"/>
          </w:pPr>
          <w:hyperlink w:anchor="_DanToc9008" w:history="1">
            <w:r>
              <w:rPr>
                <w:rFonts w:ascii="Tahoma" w:hAnsi="Tahoma" w:cs="Tahoma"/>
                <w:color w:val="444444"/>
                <w:sz w:val="19"/>
              </w:rPr>
              <w:t xml:space="preserve">7.2 Hazardous Atmospheres and Water</w:t>
            </w:r>
          </w:hyperlink>
        </w:p>
        <w:p>
          <w:pPr>
            <w:spacing w:after="40" w:line="259"/>
            <w:ind w:left="0"/>
          </w:pPr>
          <w:hyperlink w:anchor="_DanToc9009" w:history="1">
            <w:r>
              <w:rPr>
                <w:rFonts w:ascii="Tahoma" w:hAnsi="Tahoma" w:cs="Tahoma"/>
                <w:b/>
                <w:color w:val="542A12"/>
                <w:sz w:val="20"/>
              </w:rPr>
              <w:t xml:space="preserve">8. Access, Egress and Protective Systems</w:t>
            </w:r>
          </w:hyperlink>
        </w:p>
        <w:p>
          <w:pPr>
            <w:spacing w:after="40" w:line="259"/>
            <w:ind w:left="0"/>
          </w:pPr>
          <w:hyperlink w:anchor="_DanToc9010" w:history="1">
            <w:r>
              <w:rPr>
                <w:rFonts w:ascii="Tahoma" w:hAnsi="Tahoma" w:cs="Tahoma"/>
                <w:b/>
                <w:color w:val="542A12"/>
                <w:sz w:val="20"/>
              </w:rPr>
              <w:t xml:space="preserve">9. Inspections</w:t>
            </w:r>
          </w:hyperlink>
        </w:p>
        <w:p>
          <w:pPr>
            <w:spacing w:after="40" w:line="259"/>
            <w:ind w:left="0"/>
          </w:pPr>
          <w:hyperlink w:anchor="_DanToc9011" w:history="1">
            <w:r>
              <w:rPr>
                <w:rFonts w:ascii="Tahoma" w:hAnsi="Tahoma" w:cs="Tahoma"/>
                <w:b/>
                <w:color w:val="542A12"/>
                <w:sz w:val="20"/>
              </w:rPr>
              <w:t xml:space="preserve">10. Records</w:t>
            </w:r>
          </w:hyperlink>
        </w:p>
        <w:p>
          <w:pPr>
            <w:spacing w:after="40" w:line="259"/>
            <w:ind w:left="0"/>
          </w:pPr>
          <w:hyperlink w:anchor="_DanToc9012" w:history="1">
            <w:r>
              <w:rPr>
                <w:rFonts w:ascii="Tahoma" w:hAnsi="Tahoma" w:cs="Tahoma"/>
                <w:b/>
                <w:color w:val="542A12"/>
                <w:sz w:val="20"/>
              </w:rPr>
              <w:t xml:space="preserve">11. Related Documents</w:t>
            </w:r>
          </w:hyperlink>
        </w:p>
        <w:p>
          <w:pPr>
            <w:spacing w:after="40" w:line="259"/>
            <w:ind w:left="0"/>
          </w:pPr>
          <w:hyperlink w:anchor="_DanToc9013"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details the requirements for excavation, trenching, shoring and backfilling operations on DAN projects, including the identification of underground installations, protective systems, and protection of personnel from cave-ins, falling loads, hazardous atmospheres and water accumulation.</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excavation and trenching activities on DAN projects. Sides of trenches 4 ft (1.2 m) or more deep shall be shored, sloped or otherwise supported by means approved by the DAN Representative before work begins.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29 CFR 1926 Subpart P; ANSI/ASSE A10.12</w:t>
      </w:r>
    </w:p>
    <w:p>
      <w:pPr>
        <w:pStyle w:val="ListParagraph"/>
        <w:numPr>
          <w:ilvl w:val="0"/>
          <w:numId w:val="2"/>
        </w:numPr>
        <w:spacing w:after="60" w:line="268"/>
        <w:jc w:val="both"/>
      </w:pPr>
      <w:r>
        <w:rPr>
          <w:rFonts w:ascii="Tahoma" w:cs="Tahoma" w:eastAsia="Tahoma" w:hAnsi="Tahoma"/>
          <w:sz w:val="20"/>
          <w:szCs w:val="20"/>
        </w:rPr>
        <w:t xml:space="preserve">DCSM — Underground Construction; DCSM — Confined Space</w:t>
      </w:r>
    </w:p>
    <w:p>
      <w:pPr>
        <w:pStyle w:val="ListParagraph"/>
        <w:numPr>
          <w:ilvl w:val="0"/>
          <w:numId w:val="2"/>
        </w:numPr>
        <w:spacing w:after="60" w:line="268"/>
        <w:jc w:val="both"/>
      </w:pPr>
      <w:r>
        <w:rPr>
          <w:rFonts w:ascii="Tahoma" w:cs="Tahoma" w:eastAsia="Tahoma" w:hAnsi="Tahoma"/>
          <w:sz w:val="20"/>
          <w:szCs w:val="20"/>
        </w:rPr>
        <w:t xml:space="preserve">DCSM — Walking / Working Surfaces; DCSM — Fall Protection</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Project Excavation Plan</w:t>
      </w:r>
    </w:p>
    <w:p>
      <w:pPr>
        <w:pStyle w:val="ListParagraph"/>
        <w:numPr>
          <w:ilvl w:val="0"/>
          <w:numId w:val="2"/>
        </w:numPr>
        <w:spacing w:after="60" w:line="268"/>
        <w:jc w:val="both"/>
      </w:pPr>
      <w:r>
        <w:rPr>
          <w:rFonts w:ascii="Tahoma" w:cs="Tahoma" w:eastAsia="Tahoma" w:hAnsi="Tahoma"/>
          <w:sz w:val="20"/>
          <w:szCs w:val="20"/>
        </w:rPr>
        <w:t xml:space="preserve">Excavation Permit(s) as required</w:t>
      </w:r>
    </w:p>
    <w:p>
      <w:pPr>
        <w:pStyle w:val="Heading1"/>
      </w:pPr>
      <w:bookmarkStart w:id="9004" w:name="_DanToc9004"/>
      <w:r>
        <w:t xml:space="preserve">5. Project Excavation Plan and Permits</w:t>
      </w:r>
      <w:bookmarkEnd w:id="9004"/>
    </w:p>
    <w:p>
      <w:pPr>
        <w:spacing w:after="120" w:line="276"/>
        <w:jc w:val="both"/>
      </w:pPr>
      <w:r>
        <w:rPr>
          <w:rFonts w:ascii="Tahoma" w:cs="Tahoma" w:eastAsia="Tahoma" w:hAnsi="Tahoma"/>
          <w:sz w:val="20"/>
          <w:szCs w:val="20"/>
        </w:rPr>
        <w:t xml:space="preserve">The SH&amp;E Representative leads development of a Project Excavation Plan with site-specific provisions for excavation permits, protective-system design, identification of underground installations, a mobile-equipment warning system and the AHA. Before work begins, a Competent Person evaluates the purpose and size, soil classification (by visual and manual testing, ideally geotechnical analysis), adjacent structures, underground utilities, nearby hydrocarbon/toxic sources, weather and water table, vibration sources, barricades, the protective system (benching, sloping or shoring), rescue equipment and means of entry/exit. The Competent Person identifies and marks underground installations and submits a completed permit; the SH&amp;E Representative, Project Manager and Project Engineer sign the permit before work starts.</w:t>
      </w:r>
    </w:p>
    <w:p>
      <w:pPr>
        <w:pStyle w:val="Heading1"/>
      </w:pPr>
      <w:bookmarkStart w:id="9005" w:name="_DanToc9005"/>
      <w:r>
        <w:t xml:space="preserve">6. Underground Utilities</w:t>
      </w:r>
      <w:bookmarkEnd w:id="9005"/>
    </w:p>
    <w:p>
      <w:pPr>
        <w:spacing w:after="120" w:line="276"/>
        <w:jc w:val="both"/>
      </w:pPr>
      <w:r>
        <w:rPr>
          <w:rFonts w:ascii="Tahoma" w:cs="Tahoma" w:eastAsia="Tahoma" w:hAnsi="Tahoma"/>
          <w:sz w:val="20"/>
          <w:szCs w:val="20"/>
        </w:rPr>
        <w:t xml:space="preserve">Before opening an excavation, the Competent Person locates utilities (sewer, telephone, fuel, electric, water); marked facilities shall be protected, re-routed or removed via permit. Mechanical excavators shall not be used until utilities are exposed by hand digging and shall not be used within 10 ft (3 m) of utilities. Subsurface scanning shall be completed no more than one month before the work. Surface marks use the Uniform Colour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Colour</w:t>
            </w:r>
          </w:p>
        </w:tc>
        <w:tc>
          <w:tcPr>
            <w:tcW w:type="dxa" w:w="6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Installation type</w:t>
            </w:r>
          </w:p>
        </w:tc>
      </w:tr>
      <w:tr>
        <w:tc>
          <w:tcPr>
            <w:tcW w:type="dxa" w:w="3000"/>
            <w:tcBorders>
              <w:top w:val="single" w:color="BFB3AA" w:sz="4"/>
              <w:left w:val="single" w:color="BFB3AA" w:sz="4"/>
              <w:bottom w:val="single" w:color="BFB3AA" w:sz="4"/>
              <w:right w:val="single" w:color="BFB3AA" w:sz="4"/>
            </w:tcBorders>
            <w:shd w:fill="FFFFFF"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White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Proposed excavation</w:t>
            </w:r>
          </w:p>
        </w:tc>
      </w:tr>
      <w:tr>
        <w:tc>
          <w:tcPr>
            <w:tcW w:type="dxa" w:w="30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Red</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Electric power lines, cables, conduit and lighting</w:t>
            </w:r>
          </w:p>
        </w:tc>
      </w:tr>
      <w:tr>
        <w:tc>
          <w:tcPr>
            <w:tcW w:type="dxa" w:w="3000"/>
            <w:tcBorders>
              <w:top w:val="single" w:color="BFB3AA" w:sz="4"/>
              <w:left w:val="single" w:color="BFB3AA" w:sz="4"/>
              <w:bottom w:val="single" w:color="BFB3AA" w:sz="4"/>
              <w:right w:val="single" w:color="BFB3AA" w:sz="4"/>
            </w:tcBorders>
            <w:shd w:fill="E59BB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Pink</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Temporary survey markings</w:t>
            </w:r>
          </w:p>
        </w:tc>
      </w:tr>
      <w:tr>
        <w:tc>
          <w:tcPr>
            <w:tcW w:type="dxa" w:w="30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Yellow</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Gas, oil, steam, petroleum or gaseous materials</w:t>
            </w:r>
          </w:p>
        </w:tc>
      </w:tr>
      <w:tr>
        <w:tc>
          <w:tcPr>
            <w:tcW w:type="dxa" w:w="30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Orange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Communication, alarm or signal lines, cables or conduit</w:t>
            </w:r>
          </w:p>
        </w:tc>
      </w:tr>
      <w:tr>
        <w:tc>
          <w:tcPr>
            <w:tcW w:type="dxa" w:w="3000"/>
            <w:tcBorders>
              <w:top w:val="single" w:color="BFB3AA" w:sz="4"/>
              <w:left w:val="single" w:color="BFB3AA" w:sz="4"/>
              <w:bottom w:val="single" w:color="BFB3AA" w:sz="4"/>
              <w:right w:val="single" w:color="BFB3AA" w:sz="4"/>
            </w:tcBorders>
            <w:shd w:fill="19648B"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Blue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Water, irrigation and slurry lines</w:t>
            </w:r>
          </w:p>
        </w:tc>
      </w:tr>
      <w:tr>
        <w:tc>
          <w:tcPr>
            <w:tcW w:type="dxa" w:w="3000"/>
            <w:tcBorders>
              <w:top w:val="single" w:color="BFB3AA" w:sz="4"/>
              <w:left w:val="single" w:color="BFB3AA" w:sz="4"/>
              <w:bottom w:val="single" w:color="BFB3AA" w:sz="4"/>
              <w:right w:val="single" w:color="BFB3AA" w:sz="4"/>
            </w:tcBorders>
            <w:shd w:fill="119D88"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Green</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Sewers and drain lines</w:t>
            </w:r>
          </w:p>
        </w:tc>
      </w:tr>
      <w:tr>
        <w:tc>
          <w:tcPr>
            <w:tcW w:type="dxa" w:w="3000"/>
            <w:tcBorders>
              <w:top w:val="single" w:color="BFB3AA" w:sz="4"/>
              <w:left w:val="single" w:color="BFB3AA" w:sz="4"/>
              <w:bottom w:val="single" w:color="BFB3AA" w:sz="4"/>
              <w:right w:val="single" w:color="BFB3AA" w:sz="4"/>
            </w:tcBorders>
            <w:shd w:fill="7E4F9E"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Purple</w:t>
            </w:r>
          </w:p>
        </w:tc>
        <w:tc>
          <w:tcPr>
            <w:tcW w:type="dxa" w:w="6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Reclaimed water, irrigation and slurry lines</w:t>
            </w:r>
          </w:p>
        </w:tc>
      </w:tr>
    </w:tbl>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When the excavation approaches an identified installation, the exact location shall be determined by hand excavation or pot-holing. Only a non-conductive shovel or air lance shall be used within 18 in (46 cm) of energised utilities not protected by a rigid raceway or concrete encasement.</w:t>
      </w:r>
    </w:p>
    <w:p>
      <w:pPr>
        <w:pStyle w:val="Heading1"/>
      </w:pPr>
      <w:bookmarkStart w:id="9006" w:name="_DanToc9006"/>
      <w:r>
        <w:t xml:space="preserve">7. Protection of Personnel</w:t>
      </w:r>
      <w:bookmarkEnd w:id="9006"/>
    </w:p>
    <w:p>
      <w:pPr>
        <w:pStyle w:val="Heading2"/>
      </w:pPr>
      <w:bookmarkStart w:id="9007" w:name="_DanToc9007"/>
      <w:r>
        <w:t xml:space="preserve">7.1 Surface Encumbrances, Spoil and Traffic</w:t>
      </w:r>
      <w:bookmarkEnd w:id="9007"/>
    </w:p>
    <w:p>
      <w:pPr>
        <w:pStyle w:val="ListParagraph"/>
        <w:numPr>
          <w:ilvl w:val="0"/>
          <w:numId w:val="2"/>
        </w:numPr>
        <w:spacing w:after="60" w:line="268"/>
        <w:jc w:val="both"/>
      </w:pPr>
      <w:r>
        <w:rPr>
          <w:rFonts w:ascii="Tahoma" w:cs="Tahoma" w:eastAsia="Tahoma" w:hAnsi="Tahoma"/>
          <w:sz w:val="20"/>
          <w:szCs w:val="20"/>
        </w:rPr>
        <w:t xml:space="preserve">Surface encumbrances shall be removed or barricaded; excavated material shall be kept at least 2 ft (61 cm) — preferably 4 ft (1.2 m) — from the edge of any excavation.</w:t>
      </w:r>
    </w:p>
    <w:p>
      <w:pPr>
        <w:pStyle w:val="ListParagraph"/>
        <w:numPr>
          <w:ilvl w:val="0"/>
          <w:numId w:val="2"/>
        </w:numPr>
        <w:spacing w:after="60" w:line="268"/>
        <w:jc w:val="both"/>
      </w:pPr>
      <w:r>
        <w:rPr>
          <w:rFonts w:ascii="Tahoma" w:cs="Tahoma" w:eastAsia="Tahoma" w:hAnsi="Tahoma"/>
          <w:sz w:val="20"/>
          <w:szCs w:val="20"/>
        </w:rPr>
        <w:t xml:space="preserve">Open excavations shall be identified with barrier tape for the duration of the hazard; personnel exposed to vehicular traffic shall wear high-visibility garments, with temporary traffic control as needed.</w:t>
      </w:r>
    </w:p>
    <w:p>
      <w:pPr>
        <w:pStyle w:val="ListParagraph"/>
        <w:numPr>
          <w:ilvl w:val="0"/>
          <w:numId w:val="2"/>
        </w:numPr>
        <w:spacing w:after="60" w:line="268"/>
        <w:jc w:val="both"/>
      </w:pPr>
      <w:r>
        <w:rPr>
          <w:rFonts w:ascii="Tahoma" w:cs="Tahoma" w:eastAsia="Tahoma" w:hAnsi="Tahoma"/>
          <w:sz w:val="20"/>
          <w:szCs w:val="20"/>
        </w:rPr>
        <w:t xml:space="preserve">No one shall be underneath loads handled by lifting or digging equipment; during backhoe excavation, an observer/flagger shall watch the bucket and alert the Operator to obstructions.</w:t>
      </w:r>
    </w:p>
    <w:p>
      <w:pPr>
        <w:pStyle w:val="Heading2"/>
      </w:pPr>
      <w:bookmarkStart w:id="9008" w:name="_DanToc9008"/>
      <w:r>
        <w:t xml:space="preserve">7.2 Hazardous Atmospheres and Water</w:t>
      </w:r>
      <w:bookmarkEnd w:id="9008"/>
    </w:p>
    <w:p>
      <w:pPr>
        <w:pStyle w:val="ListParagraph"/>
        <w:numPr>
          <w:ilvl w:val="0"/>
          <w:numId w:val="2"/>
        </w:numPr>
        <w:spacing w:after="60" w:line="268"/>
        <w:jc w:val="both"/>
      </w:pPr>
      <w:r>
        <w:rPr>
          <w:rFonts w:ascii="Tahoma" w:cs="Tahoma" w:eastAsia="Tahoma" w:hAnsi="Tahoma"/>
          <w:sz w:val="20"/>
          <w:szCs w:val="20"/>
        </w:rPr>
        <w:t xml:space="preserve">Where an oxygen-deficient (&lt; 19.5%) or hazardous atmosphere could exist (e.g. landfill or near stored hazardous substances), the excavation is presumed a permit-required confined space; atmospheres in excavations over 4 ft deep shall be tested for oxygen, flammable gas (&lt; 10% LEL), carbon monoxide and sulphur dioxide before entry.</w:t>
      </w:r>
    </w:p>
    <w:p>
      <w:pPr>
        <w:pStyle w:val="ListParagraph"/>
        <w:numPr>
          <w:ilvl w:val="0"/>
          <w:numId w:val="2"/>
        </w:numPr>
        <w:spacing w:after="60" w:line="268"/>
        <w:jc w:val="both"/>
      </w:pPr>
      <w:r>
        <w:rPr>
          <w:rFonts w:ascii="Tahoma" w:cs="Tahoma" w:eastAsia="Tahoma" w:hAnsi="Tahoma"/>
          <w:sz w:val="20"/>
          <w:szCs w:val="20"/>
        </w:rPr>
        <w:t xml:space="preserve">Personnel shall not work in excavations where water has accumulated unless protected by special support/shield systems, water removal monitored by a Competent Person, and a harness and lifeline; diversion ditches or dikes shall prevent surface-water entry.</w:t>
      </w:r>
    </w:p>
    <w:p>
      <w:pPr>
        <w:pStyle w:val="ListParagraph"/>
        <w:numPr>
          <w:ilvl w:val="0"/>
          <w:numId w:val="2"/>
        </w:numPr>
        <w:spacing w:after="60" w:line="268"/>
        <w:jc w:val="both"/>
      </w:pPr>
      <w:r>
        <w:rPr>
          <w:rFonts w:ascii="Tahoma" w:cs="Tahoma" w:eastAsia="Tahoma" w:hAnsi="Tahoma"/>
          <w:sz w:val="20"/>
          <w:szCs w:val="20"/>
        </w:rPr>
        <w:t xml:space="preserve">Emergency rescue equipment (breathing apparatus, harness and line, basket stretcher) shall be readily available where hazardous atmospheres may develop; personnel in bell-bottom pier holes shall wear a harness with a separate lifeline and be individually attended.</w:t>
      </w:r>
    </w:p>
    <w:p>
      <w:pPr>
        <w:pStyle w:val="Heading1"/>
      </w:pPr>
      <w:bookmarkStart w:id="9009" w:name="_DanToc9009"/>
      <w:r>
        <w:t xml:space="preserve">8. Access, Egress and Protective Systems</w:t>
      </w:r>
      <w:bookmarkEnd w:id="9009"/>
    </w:p>
    <w:p>
      <w:pPr>
        <w:pStyle w:val="ListParagraph"/>
        <w:numPr>
          <w:ilvl w:val="0"/>
          <w:numId w:val="2"/>
        </w:numPr>
        <w:spacing w:after="60" w:line="268"/>
        <w:jc w:val="both"/>
      </w:pPr>
      <w:r>
        <w:rPr>
          <w:rFonts w:ascii="Tahoma" w:cs="Tahoma" w:eastAsia="Tahoma" w:hAnsi="Tahoma"/>
          <w:sz w:val="20"/>
          <w:szCs w:val="20"/>
        </w:rPr>
        <w:t xml:space="preserve">Trenches 3 ft (0.9 m) or more deep shall have ladders with lateral travel to the nearest ladder no more than 25 ft (7.6 m); walkways or bridges over excavations over 4 ft deep shall have standard guardrails; structural ramps shall be designed by a Competent Person.</w:t>
      </w:r>
    </w:p>
    <w:p>
      <w:pPr>
        <w:pStyle w:val="ListParagraph"/>
        <w:numPr>
          <w:ilvl w:val="0"/>
          <w:numId w:val="2"/>
        </w:numPr>
        <w:spacing w:after="60" w:line="268"/>
        <w:jc w:val="both"/>
      </w:pPr>
      <w:r>
        <w:rPr>
          <w:rFonts w:ascii="Tahoma" w:cs="Tahoma" w:eastAsia="Tahoma" w:hAnsi="Tahoma"/>
          <w:sz w:val="20"/>
          <w:szCs w:val="20"/>
        </w:rPr>
        <w:t xml:space="preserve">Personnel in excavations shall be protected by shoring, sloping or benching, except in stable rock, in excavations less than 4 ft deep, or where a Competent Person finds no cave-in indication; protective systems shall resist all intended loads.</w:t>
      </w:r>
    </w:p>
    <w:p>
      <w:pPr>
        <w:pStyle w:val="ListParagraph"/>
        <w:numPr>
          <w:ilvl w:val="0"/>
          <w:numId w:val="2"/>
        </w:numPr>
        <w:spacing w:after="60" w:line="268"/>
        <w:jc w:val="both"/>
      </w:pPr>
      <w:r>
        <w:rPr>
          <w:rFonts w:ascii="Tahoma" w:cs="Tahoma" w:eastAsia="Tahoma" w:hAnsi="Tahoma"/>
          <w:sz w:val="20"/>
          <w:szCs w:val="20"/>
        </w:rPr>
        <w:t xml:space="preserve">Sloping/benching deeper than 20 ft (6 m) shall be approved by the Project Engineer; support systems shall be installed and removed so personnel are protected from cave-ins; portable trench boxes shall be used per the manufacturer’s recommendations.</w:t>
      </w:r>
    </w:p>
    <w:p>
      <w:pPr>
        <w:pStyle w:val="ListParagraph"/>
        <w:numPr>
          <w:ilvl w:val="0"/>
          <w:numId w:val="2"/>
        </w:numPr>
        <w:spacing w:after="60" w:line="268"/>
        <w:jc w:val="both"/>
      </w:pPr>
      <w:r>
        <w:rPr>
          <w:rFonts w:ascii="Tahoma" w:cs="Tahoma" w:eastAsia="Tahoma" w:hAnsi="Tahoma"/>
          <w:sz w:val="20"/>
          <w:szCs w:val="20"/>
        </w:rPr>
        <w:t xml:space="preserve">Support shall be provided for sidewalks, pavements and adjacent structures that may be undermined; fall protection is required at the edge of excavations over 6 ft deep where the edge is obscured or personnel must enter on the wall or protective system.</w:t>
      </w:r>
    </w:p>
    <w:p>
      <w:pPr>
        <w:pStyle w:val="Heading1"/>
      </w:pPr>
      <w:bookmarkStart w:id="9010" w:name="_DanToc9010"/>
      <w:r>
        <w:t xml:space="preserve">9. Inspections</w:t>
      </w:r>
      <w:bookmarkEnd w:id="9010"/>
    </w:p>
    <w:p>
      <w:pPr>
        <w:spacing w:after="120" w:line="276"/>
        <w:jc w:val="both"/>
      </w:pPr>
      <w:r>
        <w:rPr>
          <w:rFonts w:ascii="Tahoma" w:cs="Tahoma" w:eastAsia="Tahoma" w:hAnsi="Tahoma"/>
          <w:sz w:val="20"/>
          <w:szCs w:val="20"/>
        </w:rPr>
        <w:t xml:space="preserve">A Competent Person shall inspect excavations, ramps, adjacent areas and protective systems daily — before work, as needed during the shift, and after every rainstorm or hazard-increasing condition — for cave-in potential, protective-system failure and hazardous atmospheres. On finding a hazard, the Project Manager shall be notified immediately and exposed personnel evacuated until corrective measures are taken; completed inspection forms are submitted to the SH&amp;E Representative.</w:t>
      </w:r>
    </w:p>
    <w:p>
      <w:pPr>
        <w:pStyle w:val="Heading1"/>
      </w:pPr>
      <w:bookmarkStart w:id="9011" w:name="_DanToc9011"/>
      <w:r>
        <w:t xml:space="preserve">10. Records</w:t>
      </w:r>
      <w:bookmarkEnd w:id="9011"/>
    </w:p>
    <w:p>
      <w:pPr>
        <w:spacing w:after="120" w:line="276"/>
        <w:jc w:val="both"/>
      </w:pPr>
      <w:r>
        <w:rPr>
          <w:rFonts w:ascii="Tahoma" w:cs="Tahoma" w:eastAsia="Tahoma" w:hAnsi="Tahoma"/>
          <w:sz w:val="20"/>
          <w:szCs w:val="20"/>
        </w:rPr>
        <w:t xml:space="preserve">The Project Excavation Plan, permits, soil-classification records and daily inspection forms shall be maintained and made available to DAN on request.</w:t>
      </w:r>
    </w:p>
    <w:p>
      <w:pPr>
        <w:pStyle w:val="Heading1"/>
      </w:pPr>
      <w:bookmarkStart w:id="9012" w:name="_DanToc9012"/>
      <w:r>
        <w:t xml:space="preserve">11.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Underground Construction</w:t>
      </w:r>
    </w:p>
    <w:p>
      <w:pPr>
        <w:pStyle w:val="ListParagraph"/>
        <w:numPr>
          <w:ilvl w:val="0"/>
          <w:numId w:val="2"/>
        </w:numPr>
        <w:spacing w:after="60" w:line="268"/>
        <w:jc w:val="both"/>
      </w:pPr>
      <w:r>
        <w:rPr>
          <w:rFonts w:ascii="Tahoma" w:cs="Tahoma" w:eastAsia="Tahoma" w:hAnsi="Tahoma"/>
          <w:sz w:val="20"/>
          <w:szCs w:val="20"/>
        </w:rPr>
        <w:t xml:space="preserve">DCSM — Confined Space</w:t>
      </w:r>
    </w:p>
    <w:p>
      <w:pPr>
        <w:pStyle w:val="ListParagraph"/>
        <w:numPr>
          <w:ilvl w:val="0"/>
          <w:numId w:val="2"/>
        </w:numPr>
        <w:spacing w:after="60" w:line="268"/>
        <w:jc w:val="both"/>
      </w:pPr>
      <w:r>
        <w:rPr>
          <w:rFonts w:ascii="Tahoma" w:cs="Tahoma" w:eastAsia="Tahoma" w:hAnsi="Tahoma"/>
          <w:sz w:val="20"/>
          <w:szCs w:val="20"/>
        </w:rPr>
        <w:t xml:space="preserve">DCSM — Walking / Working Surfaces</w:t>
      </w:r>
    </w:p>
    <w:p>
      <w:pPr>
        <w:pStyle w:val="ListParagraph"/>
        <w:numPr>
          <w:ilvl w:val="0"/>
          <w:numId w:val="2"/>
        </w:numPr>
        <w:spacing w:after="60" w:line="268"/>
        <w:jc w:val="both"/>
      </w:pPr>
      <w:r>
        <w:rPr>
          <w:rFonts w:ascii="Tahoma" w:cs="Tahoma" w:eastAsia="Tahoma" w:hAnsi="Tahoma"/>
          <w:sz w:val="20"/>
          <w:szCs w:val="20"/>
        </w:rPr>
        <w:t xml:space="preserve">Project Excavation Plan; Excavation Permit; Daily Excavation Inspection</w:t>
      </w:r>
    </w:p>
    <w:p>
      <w:pPr>
        <w:pStyle w:val="Heading1"/>
      </w:pPr>
      <w:bookmarkStart w:id="9013" w:name="_DanToc9013"/>
      <w:r>
        <w:t xml:space="preserve">Revision History</w:t>
      </w:r>
      <w:bookmarkEnd w:id="90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Excavations, Shoring and Backfilling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01-000001-000000-DAN-HSE-PRC-000029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Excavations, Shoring and Backfilling</dc:title>
  <dc:creator>DAN HSSE Management System</dc:creator>
  <cp:lastModifiedBy>Un-named</cp:lastModifiedBy>
  <cp:revision>1</cp:revision>
  <dcterms:created xsi:type="dcterms:W3CDTF">2026-06-27T21:41:54.959Z</dcterms:created>
  <dcterms:modified xsi:type="dcterms:W3CDTF">2026-06-27T21:41:54.959Z</dcterms:modified>
</cp:coreProperties>
</file>

<file path=docProps/custom.xml><?xml version="1.0" encoding="utf-8"?>
<Properties xmlns="http://schemas.openxmlformats.org/officeDocument/2006/custom-properties" xmlns:vt="http://schemas.openxmlformats.org/officeDocument/2006/docPropsVTypes"/>
</file>