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drawing>
          <wp:inline distT="0" distB="0" distL="0" distR="0">
            <wp:extent cx="1428750" cy="1104900"/>
            <wp:effectExtent t="0" r="0" b="0" l="0"/>
            <wp:docPr id="1" name="DAN" descr="DAN Company logo" title="D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648B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9D88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82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35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after="0" w:before="480"/>
      </w:pPr>
      <w:r>
        <w:rPr>
          <w:rFonts w:ascii="Tahoma" w:cs="Tahoma" w:eastAsia="Tahoma" w:hAnsi="Tahoma"/>
          <w:b/>
          <w:bCs/>
          <w:color w:val="595959"/>
          <w:spacing w:val="30"/>
          <w:sz w:val="20"/>
          <w:szCs w:val="20"/>
        </w:rPr>
        <w:t xml:space="preserve">HEALTH, SAFETY &amp; ENVIRONMENT MANAGEMENT SYSTEM</w:t>
      </w:r>
    </w:p>
    <w:p>
      <w:pPr>
        <w:spacing w:after="0" w:before="40"/>
      </w:pPr>
      <w:r>
        <w:rPr>
          <w:rFonts w:ascii="Tahoma" w:cs="Tahoma" w:eastAsia="Tahoma" w:hAnsi="Tahoma"/>
          <w:color w:val="595959"/>
          <w:sz w:val="18"/>
          <w:szCs w:val="18"/>
        </w:rPr>
        <w:t xml:space="preserve">DAN Construction Safety Manual (DCSM)</w:t>
      </w:r>
    </w:p>
    <w:p>
      <w:pPr>
        <w:spacing w:after="0" w:before="720"/>
      </w:pPr>
      <w:r>
        <w:rPr>
          <w:rFonts w:ascii="Tahoma" w:cs="Tahoma" w:eastAsia="Tahoma" w:hAnsi="Tahoma"/>
          <w:b/>
          <w:bCs/>
          <w:color w:val="542A12"/>
          <w:sz w:val="44"/>
          <w:szCs w:val="44"/>
        </w:rPr>
        <w:t xml:space="preserve">Hand Tools and Power Tools</w:t>
      </w:r>
    </w:p>
    <w:p>
      <w:pPr>
        <w:pBdr>
          <w:top w:val="single" w:color="E68233" w:sz="12" w:space="8"/>
        </w:pBdr>
        <w:spacing w:after="0" w:before="200"/>
      </w:pPr>
      <w:r>
        <w:rPr>
          <w:rFonts w:ascii="Tahoma" w:cs="Tahoma" w:eastAsia="Tahoma" w:hAnsi="Tahoma"/>
          <w:sz w:val="8"/>
          <w:szCs w:val="8"/>
        </w:rPr>
        <w:t xml:space="preserve"/>
      </w:r>
    </w:p>
    <w:p>
      <w:pPr>
        <w:spacing w:after="120" w:before="480"/>
      </w:pPr>
      <w:r>
        <w:rPr>
          <w:rFonts w:ascii="Tahoma" w:cs="Tahoma" w:eastAsia="Tahoma" w:hAnsi="Tahoma"/>
          <w:b/>
          <w:bCs/>
          <w:color w:val="542A12"/>
          <w:sz w:val="22"/>
          <w:szCs w:val="2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No.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01-000001-000000-DAN-HSE-PRC-000040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Revision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R01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Issue Date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Controlled — Internal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HSE Department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Page Format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US Letter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60"/>
      </w:pPr>
      <w:r>
        <w:rPr>
          <w:rFonts w:ascii="Tahoma" w:cs="Tahoma" w:eastAsia="Tahoma" w:hAnsi="Tahoma"/>
          <w:b/>
          <w:bCs/>
          <w:color w:val="542A12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pPr>
            <w:spacing w:after="40" w:line="259"/>
            <w:ind w:left="0"/>
          </w:pPr>
          <w:hyperlink w:anchor="_DanToc9000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1. Purpose</w:t>
            </w:r>
          </w:hyperlink>
        </w:p>
        <w:p>
          <w:pPr>
            <w:spacing w:after="40" w:line="259"/>
            <w:ind w:left="0"/>
          </w:pPr>
          <w:hyperlink w:anchor="_DanToc9001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2. Scope</w:t>
            </w:r>
          </w:hyperlink>
        </w:p>
        <w:p>
          <w:pPr>
            <w:spacing w:after="40" w:line="259"/>
            <w:ind w:left="0"/>
          </w:pPr>
          <w:hyperlink w:anchor="_DanToc9002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3. References</w:t>
            </w:r>
          </w:hyperlink>
        </w:p>
        <w:p>
          <w:pPr>
            <w:spacing w:after="40" w:line="259"/>
            <w:ind w:left="0"/>
          </w:pPr>
          <w:hyperlink w:anchor="_DanToc9003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4. Definitions</w:t>
            </w:r>
          </w:hyperlink>
        </w:p>
        <w:p>
          <w:pPr>
            <w:spacing w:after="40" w:line="259"/>
            <w:ind w:left="0"/>
          </w:pPr>
          <w:hyperlink w:anchor="_DanToc9004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5. Deliverables</w:t>
            </w:r>
          </w:hyperlink>
        </w:p>
        <w:p>
          <w:pPr>
            <w:spacing w:after="40" w:line="259"/>
            <w:ind w:left="0"/>
          </w:pPr>
          <w:hyperlink w:anchor="_DanToc9005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6. General Precautions</w:t>
            </w:r>
          </w:hyperlink>
        </w:p>
        <w:p>
          <w:pPr>
            <w:spacing w:after="40" w:line="259"/>
            <w:ind w:left="0"/>
          </w:pPr>
          <w:hyperlink w:anchor="_DanToc9006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7. Hand Tools</w:t>
            </w:r>
          </w:hyperlink>
        </w:p>
        <w:p>
          <w:pPr>
            <w:spacing w:after="40" w:line="259"/>
            <w:ind w:left="0"/>
          </w:pPr>
          <w:hyperlink w:anchor="_DanToc9007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8. Electric Power Tools</w:t>
            </w:r>
          </w:hyperlink>
        </w:p>
        <w:p>
          <w:pPr>
            <w:spacing w:after="40" w:line="259"/>
            <w:ind w:left="0"/>
          </w:pPr>
          <w:hyperlink w:anchor="_DanToc9008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9. Extension Cords and Portable Lights</w:t>
            </w:r>
          </w:hyperlink>
        </w:p>
        <w:p>
          <w:pPr>
            <w:spacing w:after="40" w:line="259"/>
            <w:ind w:left="0"/>
          </w:pPr>
          <w:hyperlink w:anchor="_DanToc9009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10. Pneumatic and Fuel-Powered Tools</w:t>
            </w:r>
          </w:hyperlink>
        </w:p>
        <w:p>
          <w:pPr>
            <w:spacing w:after="40" w:line="259"/>
            <w:ind w:left="0"/>
          </w:pPr>
          <w:hyperlink w:anchor="_DanToc9010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11. Hydraulic Jacks</w:t>
            </w:r>
          </w:hyperlink>
        </w:p>
        <w:p>
          <w:pPr>
            <w:spacing w:after="40" w:line="259"/>
            <w:ind w:left="0"/>
          </w:pPr>
          <w:hyperlink w:anchor="_DanToc9011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12. Abrasive Wheels and Grinders</w:t>
            </w:r>
          </w:hyperlink>
        </w:p>
        <w:p>
          <w:pPr>
            <w:spacing w:after="40" w:line="259"/>
            <w:ind w:left="0"/>
          </w:pPr>
          <w:hyperlink w:anchor="_DanToc9012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13. Woodworking Tools and Saws</w:t>
            </w:r>
          </w:hyperlink>
        </w:p>
        <w:p>
          <w:pPr>
            <w:spacing w:after="40" w:line="259"/>
            <w:ind w:left="0"/>
          </w:pPr>
          <w:hyperlink w:anchor="_DanToc9013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14. Powder-Actuated (Explosive-Charge) Tools</w:t>
            </w:r>
          </w:hyperlink>
        </w:p>
        <w:p>
          <w:pPr>
            <w:spacing w:after="40" w:line="259"/>
            <w:ind w:left="0"/>
          </w:pPr>
          <w:hyperlink w:anchor="_DanToc9014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15. Training</w:t>
            </w:r>
          </w:hyperlink>
        </w:p>
        <w:p>
          <w:pPr>
            <w:spacing w:after="40" w:line="259"/>
            <w:ind w:left="0"/>
          </w:pPr>
          <w:hyperlink w:anchor="_DanToc9015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16. Documentation / Related Documents</w:t>
            </w:r>
          </w:hyperlink>
        </w:p>
        <w:p>
          <w:pPr>
            <w:spacing w:after="40" w:line="259"/>
            <w:ind w:left="0"/>
          </w:pPr>
          <w:hyperlink w:anchor="_DanToc9016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Figures and Illustrations</w:t>
            </w:r>
          </w:hyperlink>
        </w:p>
        <w:p>
          <w:pPr>
            <w:spacing w:after="40" w:line="259"/>
            <w:ind w:left="0"/>
          </w:pPr>
          <w:hyperlink w:anchor="_DanToc9017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Revision History</w:t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id="9000" w:name="_DanToc9000"/>
      <w:r>
        <w:t xml:space="preserve">1. Purpose</w:t>
      </w:r>
      <w:bookmarkEnd w:id="9000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This document provides the minimum DAN safety requirements for the selection, use and care of hand tools and power tools — both portable and fixed — to ensure the safety of personnel using them.</w:t>
      </w:r>
    </w:p>
    <w:p>
      <w:pPr>
        <w:pStyle w:val="Heading1"/>
      </w:pPr>
      <w:bookmarkStart w:id="9001" w:name="_DanToc9001"/>
      <w:r>
        <w:t xml:space="preserve">2. Scope</w:t>
      </w:r>
      <w:bookmarkEnd w:id="9001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This document applies to all hand tools, electric, pneumatic, fuel-powered, hydraulic and powder-actuated tools used on DAN projects, including their guarding, inspection, storage and operator training.</w:t>
      </w:r>
    </w:p>
    <w:p>
      <w:pPr>
        <w:spacing w:after="120" w:before="80"/>
      </w:pPr>
      <w:r>
        <w:rPr>
          <w:rFonts w:ascii="Tahoma" w:cs="Tahoma" w:eastAsia="Tahoma" w:hAnsi="Tahoma"/>
          <w:b/>
          <w:bCs/>
          <w:color w:val="542A12"/>
          <w:sz w:val="18"/>
          <w:szCs w:val="18"/>
        </w:rPr>
        <w:t xml:space="preserve">Note:  </w:t>
      </w:r>
      <w:r>
        <w:rPr>
          <w:rFonts w:ascii="Tahoma" w:cs="Tahoma" w:eastAsia="Tahoma" w:hAnsi="Tahoma"/>
          <w:color w:val="444444"/>
          <w:sz w:val="18"/>
          <w:szCs w:val="18"/>
        </w:rPr>
        <w:t xml:space="preserve">This document does not apply to concrete vibrators/breakers, powered tampers, jackhammers, rock drills, garden/household/personal-care appliances, medical/dental equipment or fixed machinery (see the Machine Guarding chapter).</w:t>
      </w:r>
    </w:p>
    <w:p>
      <w:pPr>
        <w:pStyle w:val="Heading1"/>
      </w:pPr>
      <w:bookmarkStart w:id="9002" w:name="_DanToc9002"/>
      <w:r>
        <w:t xml:space="preserve">3. References</w:t>
      </w:r>
      <w:bookmarkEnd w:id="9002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29 CFR 1910 Subpart O &amp; P; 29 CFR 1926 Subpart I — Tools, Hand and Power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ANSI A10.3 — Powder-Actuated Fastening Systems; ANSI B7.1 — Abrasive Wheels; ANSI B15.1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EM 385-1-1, Section 11 — Electrical: Tools; NFPA 70 (NEC)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Electrical Safety; DCSM — Machine Guarding; DCSM — Personal Protective Equipment</w:t>
      </w:r>
    </w:p>
    <w:p>
      <w:pPr>
        <w:pStyle w:val="Heading1"/>
      </w:pPr>
      <w:bookmarkStart w:id="9003" w:name="_DanToc9003"/>
      <w:r>
        <w:t xml:space="preserve">4. Definitions</w:t>
      </w:r>
      <w:bookmarkEnd w:id="9003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Powder-Actuated Tool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A tool that uses an explosive charge to drive a fastener into a base material.</w:t>
            </w:r>
          </w:p>
        </w:tc>
      </w:tr>
      <w:t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Constant-Pressure Control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A switch that shuts off power when finger pressure is released ("dead-man" control).</w:t>
            </w:r>
          </w:p>
        </w:tc>
      </w:tr>
      <w:t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Job-Made Extension Cord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An extension cord fabricated on-site by a certified electrician from approved flexible cable.</w:t>
            </w:r>
          </w:p>
        </w:tc>
      </w:tr>
      <w:t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Ring Test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Tapping an abrasive wheel to listen for the clear ring that indicates it is free of cracks.</w:t>
            </w:r>
          </w:p>
        </w:tc>
      </w:tr>
    </w:tbl>
    <w:p>
      <w:pPr>
        <w:pStyle w:val="Heading1"/>
      </w:pPr>
      <w:bookmarkStart w:id="9004" w:name="_DanToc9004"/>
      <w:r>
        <w:t xml:space="preserve">5. Deliverables</w:t>
      </w:r>
      <w:bookmarkEnd w:id="9004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Hand Tools &amp; Power Tools Procedures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Hand Tools &amp; Power Tools Register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Tool inspection records / "DEFECTIVE" tagging</w:t>
      </w:r>
    </w:p>
    <w:p>
      <w:pPr>
        <w:pStyle w:val="Heading1"/>
      </w:pPr>
      <w:bookmarkStart w:id="9005" w:name="_DanToc9005"/>
      <w:r>
        <w:t xml:space="preserve">6. General Precautions</w:t>
      </w:r>
      <w:bookmarkEnd w:id="9005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All tools shall be maintained in a safe condition and inspected before work; defective tools shall be removed from service and tagged "DEFECTIVE" or "DO NOT USE".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AHAs shall identify the tools required for each task and the specific hazards; appropriate PPE shall be used against dust, fumes, mists, vapours, gases, falling objects and flying/abrasive/splashing materials.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Near energised electrical circuits, do not use hammers with metal handles, screwdrivers, knives with metal continuing through the handle, or metallic measuring tapes — and do not rely on hand-tool insulation to protect against shock.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Machines designed for fixed locations shall be anchored to prevent movement; points of operation and moving/rotating parts shall be guarded, and blade peripheries guarded with openings no larger than 1/2 in.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Only cutting tools shall be used to cut metal strapping or banding.</w:t>
      </w:r>
    </w:p>
    <w:p>
      <w:pPr>
        <w:pStyle w:val="Heading1"/>
      </w:pPr>
      <w:bookmarkStart w:id="9006" w:name="_DanToc9006"/>
      <w:r>
        <w:t xml:space="preserve">7. Hand Tools</w:t>
      </w:r>
      <w:bookmarkEnd w:id="9006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Sharp tools are safe tools — sharpen regularly and inspect for defects; do not use wrenches with sprung jaws where slippage could occur.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Use holders or tongs to grip chisels, drills, punches, ground rods and pipes while they are struck — never hold them by hand; do not extend a wrench handle with a pipe ("cheater bar") unless designed for it.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Keep impact tools (drift pins, wedges, chisels) free of mushroomed heads; replace splintered or cracked wooden handles (kept tight) and never tape or lash a damaged handle.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Specific tools: screwdriver tips shall fit the screw slot and handles be insulated for electrical work; pliers shall not be used as wrenches; hammer handles shall be smooth timber, bonded fibreglass or integral steel; chisel cutting edges shall be kept sharp; hacksaw teeth shall point forward (away from the body); hand-saw blades shall be sheathed when not in use; correct-size spanners/wrenches shall be used and "cheater bars" are prohibited; pipe-wrench teeth shall be kept clean and sharp and the wrench never struck with or used as a hammer; hand-excavation tools (picks/shovels) shall be free of cracks, splinters and blunt or jagged blades, with shafts firmly attached.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Storage: never store or carry tools with uncovered sharp edges (cover with leather or durable material); keep cutting tools in guards or compartments; do not carry sharp tools in pockets or leave tools as trip hazards; cover open gratings (or barricade) when working above to prevent dropped tools.</w:t>
      </w:r>
    </w:p>
    <w:p>
      <w:pPr>
        <w:pStyle w:val="Heading1"/>
      </w:pPr>
      <w:bookmarkStart w:id="9007" w:name="_DanToc9007"/>
      <w:r>
        <w:t xml:space="preserve">8. Electric Power Tools</w:t>
      </w:r>
      <w:bookmarkEnd w:id="9007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Electric power tool use shall conform to the Electrical Safety chapter and the project assured-grounding plan (qualified persons, identification, grounding, GFCIs, testing/colour-coding, visual inspection).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Portable electric tools and appliances, except double-insulated tools, shall be grounded; hand-held tools shall have a manually held "on" switch; damaged tools shall be marked and taken out of service immediately, and cords shall not be used for hoisting/lowering tools.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Portable electric power tools shall be UL-listed or FM-approved (or equivalent), bear the appropriate trademark, and be double-insulated or grounded with a three-prong plug.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Hand-held circular saws with blade diameter greater than 2 in (5 cm), all chainsaws, and percussion tools without positive accessory-holding means shall have a constant-pressure switch that shuts off power when released; gasoline chainsaws shall have a constant-pressure throttle control.</w:t>
      </w:r>
    </w:p>
    <w:p>
      <w:pPr>
        <w:pStyle w:val="Heading1"/>
      </w:pPr>
      <w:bookmarkStart w:id="9008" w:name="_DanToc9008"/>
      <w:r>
        <w:t xml:space="preserve">9. Extension Cords and Portable Lights</w:t>
      </w:r>
      <w:bookmarkEnd w:id="9008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Extension cords shall be as short as possible; three-wire conductor type with correct grounding pins; meet NFPA 70 grounding, polarity and over-current requirements; be rated for outdoor use ("W" jacket); be #12 AWG minimum below 100 ft (30 m) and #10 AWG minimum at 100 ft or longer; not be used as permanent wiring; and be UL-listed/FM-approved if factory-made.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Job-made extension cords shall be fabricated by a certified electrician from junior-hard or hard-service flexible cable (NFPA 70 Article 400), marked along their length, and fitted with receptacle boxes/plugs labelled NEMA Type 4/4X or IEC IP 55.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Portable lights shall have insulated handles and substantial guards, be UL-listed/FM-approved and grounded if AC, be inspected before issue, be repaired or replaced if defective, and not be placed where their heat could ignite combustibles; flashlights used in confined-space classified areas shall be explosion-proof.</w:t>
      </w:r>
    </w:p>
    <w:p>
      <w:pPr>
        <w:pStyle w:val="Heading1"/>
      </w:pPr>
      <w:bookmarkStart w:id="9009" w:name="_DanToc9009"/>
      <w:r>
        <w:t xml:space="preserve">10. Pneumatic and Fuel-Powered Tools</w:t>
      </w:r>
      <w:bookmarkEnd w:id="9009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Air hoses and connections shall be rated for the pressure and service, and the manufacturer's safe operating pressure shall not be exceeded; tools shall be secured to hoses by positive means (pin or wire) unless a ball-check device is provided at the source; hoses over 1/2 in (1.27 cm) ID shall have a safety device at the supply to reduce pressure on hose failure.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Pneumatic impact tools shall have safety clips/retainers; nail guns operating at 100 psi shall eject fasteners only when the muzzle contacts the work and a separate trigger is activated simultaneously; twist-lock fittings shall be secured with couplers and safety wires/pins, and screw-type ("Jubilee") clamps shall not be used.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Compressed air used for cleaning shall be less than 30 psi, with chip guarding and PPE, and shall never be directed at any person; systems at or above 30 psig nozzle pressure shall have a relief device limiting dead-ended pressure below 30 psig.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Fuel-powered tools shall be refuelled/serviced only when stopped; fuels handled per the Hazardous Materials chapter; indoor use shall control carbon-monoxide build-up via ventilation/exhaust, with respirators used only where engineering controls cannot reduce concentrations to safe levels.</w:t>
      </w:r>
    </w:p>
    <w:p>
      <w:pPr>
        <w:pStyle w:val="Heading1"/>
      </w:pPr>
      <w:bookmarkStart w:id="9010" w:name="_DanToc9010"/>
      <w:r>
        <w:t xml:space="preserve">11. Hydraulic Jacks</w:t>
      </w:r>
      <w:bookmarkEnd w:id="9010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Jacks shall be permanently and legibly marked with their rated load capacity, and the load shall be less than that capacity; jacks shall be placed on level, solid support with the load centred, and the load immediately blocked/secured once raised.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Jacks shall not be used where there is a hydraulic-oil leak; the release mechanism shall be marked and protected from accidental operation; jacks shall be lubricated regularly, thoroughly inspected at least every 6 months (and after any abnormal load/shock), and damaged jacks removed from service immediately.</w:t>
      </w:r>
    </w:p>
    <w:p>
      <w:pPr>
        <w:pStyle w:val="Heading1"/>
      </w:pPr>
      <w:bookmarkStart w:id="9011" w:name="_DanToc9011"/>
      <w:r>
        <w:t xml:space="preserve">12. Abrasive Wheels and Grinders</w:t>
      </w:r>
      <w:bookmarkEnd w:id="9011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Wear safety glasses and a face shield when grinding; inspect and ring-test wheels before mounting and turn the wheel by hand before applying power; do not exceed the wheel's marked maximum speed or use it on soft metals unless designed for them.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Bench/floor grinders shall have substantial guards (top half of the wheel enclosed; maximum angular exposure 180°, or 90° on fixed grinders increasing to 125° for below-spindle work but never more than 65° above the spindle), work rests adjusted to no more than 1/8 in (3 mm) from the wheel, and tongue guards within 1/4 in (6 mm).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Wheels shall slide onto the spindle without forcing and the nut not over-tightened; the sides of a wheel shall not be used as a grinding surface; grooved or damaged wheels shall be replaced immediately; flanges shall be of equal diameter (no washers in place of flanges) and at least one-third of the wheel diameter.</w:t>
      </w:r>
    </w:p>
    <w:p>
      <w:pPr>
        <w:pStyle w:val="Heading1"/>
      </w:pPr>
      <w:bookmarkStart w:id="9012" w:name="_DanToc9012"/>
      <w:r>
        <w:t xml:space="preserve">13. Woodworking Tools and Saws</w:t>
      </w:r>
      <w:bookmarkEnd w:id="9012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Fixed woodworking tools shall have a disconnect lockable only in the OPEN position; do not exceed marked blade speeds; provide anti-restart protection so machines do not restart automatically after a power failure (except hand-held portable tools).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Portable circular saws (blade greater than 2 in / 5 cm) shall have guards above and below the base plate, with the lower guard automatically returning to the covering position when withdrawn; belt sanders shall be guarded at each nip point.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Fixed table saws shall be permanently wired to a lockable emergency disconnect with start/stop at the operator, have blade guards covering the saw at all times, anti-kickback devices and a riving knife for ripping, guarding of parts under the table, and push sticks used during the last 12 in (30 cm) of any cut.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Radial, chop/mitre saws, portable saws and chainsaws shall be guarded and operated per their specific requirements; chainsaw operators shall wear footwear, chaps, gloves and eye/hearing/head protection, maintain a firm two-handed grip, and never cut above shoulder height (kickback hazard).</w:t>
      </w:r>
    </w:p>
    <w:p>
      <w:pPr>
        <w:pStyle w:val="Heading1"/>
      </w:pPr>
      <w:bookmarkStart w:id="9013" w:name="_DanToc9013"/>
      <w:r>
        <w:t xml:space="preserve">14. Powder-Actuated (Explosive-Charge) Tools</w:t>
      </w:r>
      <w:bookmarkEnd w:id="9013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Powder-actuated tools shall be operated in strict accordance with the manufacturer's instructions and ANSI A10.3, by manufacturer-trained, qualified operators only; operators and assistants shall wear safety goggles and hearing protection (plus a face shield where a face hazard exists), and personnel in the area shall be notified, with warning signs/barriers where used extensively.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Only state/agency-approved tools shall be used; before each use the operator verifies safety devices, cleanliness, free movement and a clear barrel; defective tools shall be removed from service and tagged "DEFECTIVE – DO NOT USE".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Low-velocity piston tools shall be used wherever possible; tools shall not be loaded until immediately before use (unload if work is interrupted); never point a tool at any person; keep hands clear of the muzzle; hold the tool firmly and perpendicular to the surface; and start with the lightest powder load, increasing only as needed.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Only fasteners designed for powder-actuated tools shall be used, after a centre-punch test of the base material; do not fire into hard/brittle materials (cast iron, glazed tile, hardened steel, glass block, face brick), into thin/soft materials without backing, into spalled areas, or closer than 3 in (7.62 cm) to a masonry edge or 1/2 in to a steel edge; on a misfire, hold the tool to the surface for at least 30 seconds before following the manufacturer's procedure.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Tools and powder loads shall be kept in a dry, locked metal container painted red with white letters, labelled "Powder-Actuated Tool" and accessible only to authorised personnel, with an instruction manual, load chart, repair/cleaning tools and inspection log inside; loads of different levels shall be stored separately and never discarded in trash.</w:t>
      </w:r>
    </w:p>
    <w:p>
      <w:pPr>
        <w:pStyle w:val="Heading1"/>
      </w:pPr>
      <w:bookmarkStart w:id="9014" w:name="_DanToc9014"/>
      <w:r>
        <w:t xml:space="preserve">15. Training</w:t>
      </w:r>
      <w:bookmarkEnd w:id="9014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Contractor shall train personnel in proper tool selection, use, guarding and maintenance; the Site Safety Representative arranges training at initial assignment, and Supervisors identify additional needs during 2-week look-ahead planning. Powder-actuated-tool operators shall be trained and certified by the manufacturer or an authorised instructor (holding a valid Authorized Instructor's Card) and issued a Qualified Operator's Card only after passing training. Retraining is provided on a change of assignment, tool, equipment or process presenting a new hazard, or where deviations or knowledge gaps are identified.</w:t>
      </w:r>
    </w:p>
    <w:p>
      <w:pPr>
        <w:pStyle w:val="Heading1"/>
      </w:pPr>
      <w:bookmarkStart w:id="9015" w:name="_DanToc9015"/>
      <w:r>
        <w:t xml:space="preserve">16. Documentation / Related Documents</w:t>
      </w:r>
      <w:bookmarkEnd w:id="9015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Every tool shall carry its operator's instruction manual in its case; the Issuing Supervisor maintains a current list of certified operators, authorised persons and quantities of powder-actuated tools. The Records Custodian documents all tool training and retraining; powder-actuated-tool training records are kept in individual files. Records are maintained on-site for the duration of the project and archived at project close.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Electrical Safety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Machine Guarding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Personal Protective Equipment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Hazard Communication</w:t>
      </w:r>
    </w:p>
    <w:p>
      <w:pPr>
        <w:pStyle w:val="Heading1"/>
      </w:pPr>
      <w:bookmarkStart w:id="9016" w:name="_DanToc9016"/>
      <w:r>
        <w:t xml:space="preserve">Figures and Illustrations</w:t>
      </w:r>
      <w:bookmarkEnd w:id="9016"/>
    </w:p>
    <w:p>
      <w:pPr>
        <w:keepNext/>
        <w:spacing w:after="40" w:before="140"/>
        <w:jc w:val="center"/>
      </w:pPr>
      <w:r>
        <w:drawing>
          <wp:inline distT="0" distB="0" distL="0" distR="0">
            <wp:extent cx="1562100" cy="1562100"/>
            <wp:effectExtent t="0" r="0" b="0" l="0"/>
            <wp:docPr id="1" name="Figure 40-1 Approved Tools Trademarks" descr="Figure 40-1 Approved Tools Trademarks" title="Figure 40-1 Approved Tools Trademar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Tahoma" w:cs="Tahoma" w:eastAsia="Tahoma" w:hAnsi="Tahoma"/>
          <w:i/>
          <w:iCs/>
          <w:color w:val="542A12"/>
          <w:sz w:val="16"/>
          <w:szCs w:val="16"/>
        </w:rPr>
        <w:t xml:space="preserve">Figure 40-1 Approved Tools Trademarks</w:t>
      </w:r>
    </w:p>
    <w:p>
      <w:pPr>
        <w:keepNext/>
        <w:spacing w:after="40" w:before="140"/>
        <w:jc w:val="center"/>
      </w:pPr>
      <w:r>
        <w:drawing>
          <wp:inline distT="0" distB="0" distL="0" distR="0">
            <wp:extent cx="4095750" cy="1581150"/>
            <wp:effectExtent t="0" r="0" b="0" l="0"/>
            <wp:docPr id="1" name="Figure 40-2 Spray Gun" descr="Figure 40-2 Spray Gun" title="Figure 40-2 Spray Gu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Tahoma" w:cs="Tahoma" w:eastAsia="Tahoma" w:hAnsi="Tahoma"/>
          <w:i/>
          <w:iCs/>
          <w:color w:val="542A12"/>
          <w:sz w:val="16"/>
          <w:szCs w:val="16"/>
        </w:rPr>
        <w:t xml:space="preserve">Figure 40-2 Spray Gun</w:t>
      </w:r>
    </w:p>
    <w:p>
      <w:pPr>
        <w:keepNext/>
        <w:spacing w:after="40" w:before="140"/>
        <w:jc w:val="center"/>
      </w:pPr>
      <w:r>
        <w:drawing>
          <wp:inline distT="0" distB="0" distL="0" distR="0">
            <wp:extent cx="4057650" cy="3905250"/>
            <wp:effectExtent t="0" r="0" b="0" l="0"/>
            <wp:docPr id="1" name="Figure 40-3 Grinder Guard Example 1" descr="Figure 40-3 Grinder Guard Example 1" title="Figure 40-3 Grinder Guard Exampl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Tahoma" w:cs="Tahoma" w:eastAsia="Tahoma" w:hAnsi="Tahoma"/>
          <w:i/>
          <w:iCs/>
          <w:color w:val="542A12"/>
          <w:sz w:val="16"/>
          <w:szCs w:val="16"/>
        </w:rPr>
        <w:t xml:space="preserve">Figure 40-3 Grinder Guard Example 1</w:t>
      </w:r>
    </w:p>
    <w:p>
      <w:pPr>
        <w:keepNext/>
        <w:spacing w:after="40" w:before="140"/>
        <w:jc w:val="center"/>
      </w:pPr>
      <w:r>
        <w:drawing>
          <wp:inline distT="0" distB="0" distL="0" distR="0">
            <wp:extent cx="4086225" cy="3067050"/>
            <wp:effectExtent t="0" r="0" b="0" l="0"/>
            <wp:docPr id="1" name="Figure 40-4 Grinder Guard Example 2" descr="Figure 40-4 Grinder Guard Example 2" title="Figure 40-4 Grinder Guard Exampl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Tahoma" w:cs="Tahoma" w:eastAsia="Tahoma" w:hAnsi="Tahoma"/>
          <w:i/>
          <w:iCs/>
          <w:color w:val="542A12"/>
          <w:sz w:val="16"/>
          <w:szCs w:val="16"/>
        </w:rPr>
        <w:t xml:space="preserve">Figure 40-4 Grinder Guard Example 2</w:t>
      </w:r>
    </w:p>
    <w:p>
      <w:pPr>
        <w:keepNext/>
        <w:spacing w:after="40" w:before="140"/>
        <w:jc w:val="center"/>
      </w:pPr>
      <w:r>
        <w:drawing>
          <wp:inline distT="0" distB="0" distL="0" distR="0">
            <wp:extent cx="4095750" cy="2981325"/>
            <wp:effectExtent t="0" r="0" b="0" l="0"/>
            <wp:docPr id="1" name="Figure 40-6 Ring Test" descr="Figure 40-6 Ring Test" title="Figure 40-6 Ring 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Tahoma" w:cs="Tahoma" w:eastAsia="Tahoma" w:hAnsi="Tahoma"/>
          <w:i/>
          <w:iCs/>
          <w:color w:val="542A12"/>
          <w:sz w:val="16"/>
          <w:szCs w:val="16"/>
        </w:rPr>
        <w:t xml:space="preserve">Figure 40-6 Ring Test</w:t>
      </w:r>
    </w:p>
    <w:p>
      <w:pPr>
        <w:keepNext/>
        <w:spacing w:after="40" w:before="140"/>
        <w:jc w:val="center"/>
      </w:pPr>
      <w:r>
        <w:drawing>
          <wp:inline distT="0" distB="0" distL="0" distR="0">
            <wp:extent cx="2447925" cy="2600325"/>
            <wp:effectExtent t="0" r="0" b="0" l="0"/>
            <wp:docPr id="1" name="Figure 40-7 Grinding Wheel Markings" descr="Figure 40-7 Grinding Wheel Markings" title="Figure 40-7 Grinding Wheel Mark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Tahoma" w:cs="Tahoma" w:eastAsia="Tahoma" w:hAnsi="Tahoma"/>
          <w:i/>
          <w:iCs/>
          <w:color w:val="542A12"/>
          <w:sz w:val="16"/>
          <w:szCs w:val="16"/>
        </w:rPr>
        <w:t xml:space="preserve">Figure 40-7 Grinding Wheel Markings</w:t>
      </w:r>
    </w:p>
    <w:p>
      <w:pPr>
        <w:keepNext/>
        <w:spacing w:after="40" w:before="140"/>
        <w:jc w:val="center"/>
      </w:pPr>
      <w:r>
        <w:drawing>
          <wp:inline distT="0" distB="0" distL="0" distR="0">
            <wp:extent cx="4095750" cy="3467100"/>
            <wp:effectExtent t="0" r="0" b="0" l="0"/>
            <wp:docPr id="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140"/>
        <w:jc w:val="center"/>
      </w:pPr>
      <w:r>
        <w:drawing>
          <wp:inline distT="0" distB="0" distL="0" distR="0">
            <wp:extent cx="4086225" cy="1800225"/>
            <wp:effectExtent t="0" r="0" b="0" l="0"/>
            <wp:docPr id="1" name="Figure 40-9 Hood Guard" descr="Figure 40-9 Hood Guard" title="Figure 40-9 Hood Gu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Tahoma" w:cs="Tahoma" w:eastAsia="Tahoma" w:hAnsi="Tahoma"/>
          <w:i/>
          <w:iCs/>
          <w:color w:val="542A12"/>
          <w:sz w:val="16"/>
          <w:szCs w:val="16"/>
        </w:rPr>
        <w:t xml:space="preserve">Figure 40-9 Hood Guard</w:t>
      </w:r>
    </w:p>
    <w:p>
      <w:pPr>
        <w:keepNext/>
        <w:spacing w:after="40" w:before="140"/>
        <w:jc w:val="center"/>
      </w:pPr>
      <w:r>
        <w:drawing>
          <wp:inline distT="0" distB="0" distL="0" distR="0">
            <wp:extent cx="4086225" cy="2524125"/>
            <wp:effectExtent t="0" r="0" b="0" l="0"/>
            <wp:docPr id="1" name="Figure 40-10 Blade Guard" descr="Figure 40-10 Blade Guard" title="Figure 40-10 Blade Gu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Tahoma" w:cs="Tahoma" w:eastAsia="Tahoma" w:hAnsi="Tahoma"/>
          <w:i/>
          <w:iCs/>
          <w:color w:val="542A12"/>
          <w:sz w:val="16"/>
          <w:szCs w:val="16"/>
        </w:rPr>
        <w:t xml:space="preserve">Figure 40-10 Blade Guard</w:t>
      </w:r>
    </w:p>
    <w:p>
      <w:pPr>
        <w:pStyle w:val="Heading1"/>
      </w:pPr>
      <w:bookmarkStart w:id="9017" w:name="_DanToc9017"/>
      <w:r>
        <w:t xml:space="preserve">Revision History</w:t>
      </w:r>
      <w:bookmarkEnd w:id="9017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4460"/>
        <w:gridCol w:w="2400"/>
      </w:tblGrid>
      <w:tr>
        <w:trPr>
          <w:tblHeader/>
        </w:trP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Rev.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R00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Initial issue. Restructured to the DAN integrated HSSE management-system template and re-branded in accordance with the DAN Brand Book.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Project Director</w:t>
            </w:r>
          </w:p>
        </w:tc>
      </w:tr>
      <w:t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R01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Re-coded to the updated DAN document-numbering convention (01-000001-000000-DAN-{discipline}-{type}-{seq}).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Project Director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62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3AA" w:sz="6" w:space="4"/>
      </w:pBdr>
      <w:tabs>
        <w:tab w:val="right" w:pos="9360"/>
      </w:tabs>
    </w:pPr>
    <w:r>
      <w:rPr>
        <w:rFonts w:ascii="Tahoma" w:cs="Tahoma" w:eastAsia="Tahoma" w:hAnsi="Tahoma"/>
        <w:color w:val="595959"/>
        <w:sz w:val="14"/>
        <w:szCs w:val="14"/>
      </w:rPr>
      <w:t xml:space="preserve">DCSM — Hand and Power Tools</w:t>
    </w:r>
    <w:r>
      <w:rPr>
        <w:rFonts w:ascii="Tahoma" w:cs="Tahoma" w:eastAsia="Tahoma" w:hAnsi="Tahoma"/>
        <w:sz w:val="14"/>
        <w:szCs w:val="14"/>
      </w:rPr>
      <w:t xml:space="preserve">	</w:t>
    </w:r>
    <w:r>
      <w:rPr>
        <w:rFonts w:ascii="Tahoma" w:cs="Tahoma" w:eastAsia="Tahoma" w:hAnsi="Tahoma"/>
        <w:color w:val="595959"/>
        <w:sz w:val="14"/>
        <w:szCs w:val="14"/>
      </w:rPr>
      <w:t xml:space="preserve">Page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Tahoma" w:cs="Tahoma" w:eastAsia="Tahoma" w:hAnsi="Tahoma"/>
        <w:color w:val="595959"/>
        <w:sz w:val="14"/>
        <w:szCs w:val="14"/>
      </w:rPr>
      <w:t xml:space="preserve"> of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Tahoma" w:cs="Tahoma" w:eastAsia="Tahoma" w:hAnsi="Tahoma"/>
              <w:b/>
              <w:bCs/>
              <w:color w:val="542A12"/>
              <w:sz w:val="22"/>
              <w:szCs w:val="22"/>
            </w:rPr>
            <w:t xml:space="preserve">DAN</w:t>
          </w: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  |  HSSE Management System</w:t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01-000001-000000-DAN-HSE-PRC-000040 · R01</w:t>
          </w:r>
        </w:p>
      </w:tc>
    </w:tr>
  </w:tbl>
  <w:p>
    <w:pPr>
      <w:pBdr>
        <w:bottom w:val="single" w:color="542A12" w:sz="6" w:space="1"/>
      </w:pBdr>
      <w:spacing w:before="4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70"/>
      </w:pPr>
      <w:rPr>
        <w:color w:val="542A1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00" w:hanging="270"/>
      </w:pPr>
      <w:rPr>
        <w:color w:val="E6823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CCC2" w:sz="4" w:space="4"/>
      </w:pBdr>
      <w:spacing w:after="140" w:before="280"/>
      <w:outlineLvl w:val="0"/>
    </w:pPr>
    <w:rPr>
      <w:rFonts w:ascii="Tahoma" w:cs="Tahoma" w:eastAsia="Tahoma" w:hAnsi="Tahoma"/>
      <w:b/>
      <w:bCs/>
      <w:color w:val="542A12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ahoma" w:cs="Tahoma" w:eastAsia="Tahoma" w:hAnsi="Tahoma"/>
      <w:b/>
      <w:bCs/>
      <w:color w:val="B569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1936a4fbd2c20a575d426ea593d61c06905c283.png"/><Relationship Id="rId10" Type="http://schemas.openxmlformats.org/officeDocument/2006/relationships/image" Target="media/68a4d40e024b0021f1178f7f987211d3c8b5c73b.jpg"/><Relationship Id="rId11" Type="http://schemas.openxmlformats.org/officeDocument/2006/relationships/image" Target="media/5f6128eda2ca7f957dec20db5ec250c244c7bae1.jpg"/><Relationship Id="rId12" Type="http://schemas.openxmlformats.org/officeDocument/2006/relationships/image" Target="media/db4525a4c376dbf2739385ce1387e656b58dd255.jpg"/><Relationship Id="rId13" Type="http://schemas.openxmlformats.org/officeDocument/2006/relationships/image" Target="media/50352bbaacfb66c2ca4b2385a03c588cc443f4d3.jpg"/><Relationship Id="rId14" Type="http://schemas.openxmlformats.org/officeDocument/2006/relationships/image" Target="media/edda90733270403fee0ac38a434a10632ee7a692.jpg"/><Relationship Id="rId15" Type="http://schemas.openxmlformats.org/officeDocument/2006/relationships/image" Target="media/e852ef60ddefd25c473bf1fab49f49afde5d1204.jpg"/><Relationship Id="rId16" Type="http://schemas.openxmlformats.org/officeDocument/2006/relationships/image" Target="media/e580323acbce3365e43083118e4d1badd4e16380.jpg"/><Relationship Id="rId17" Type="http://schemas.openxmlformats.org/officeDocument/2006/relationships/image" Target="media/6809c016578b798e8587dc12d676c4bb69210e00.jpg"/><Relationship Id="rId18" Type="http://schemas.openxmlformats.org/officeDocument/2006/relationships/image" Target="media/9633e1cb4437005cb87bb855333b38c3afd529bd.jp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 Tools and Power Tools</dc:title>
  <dc:creator>DAN HSSE Management System</dc:creator>
  <cp:lastModifiedBy>Un-named</cp:lastModifiedBy>
  <cp:revision>1</cp:revision>
  <dcterms:created xsi:type="dcterms:W3CDTF">2026-06-27T22:37:38.821Z</dcterms:created>
  <dcterms:modified xsi:type="dcterms:W3CDTF">2026-06-27T22:37:38.821Z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