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drawing>
          <wp:inline distT="0" distB="0" distL="0" distR="0">
            <wp:extent cx="1428750" cy="1104900"/>
            <wp:effectExtent t="0" r="0" b="0" l="0"/>
            <wp:docPr id="1" name="DAN" descr="DAN Company logo" title="D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9648B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9D88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8233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3533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after="0" w:before="480"/>
      </w:pPr>
      <w:r>
        <w:rPr>
          <w:rFonts w:ascii="Tahoma" w:cs="Tahoma" w:eastAsia="Tahoma" w:hAnsi="Tahoma"/>
          <w:b/>
          <w:bCs/>
          <w:color w:val="595959"/>
          <w:spacing w:val="30"/>
          <w:sz w:val="20"/>
          <w:szCs w:val="20"/>
        </w:rPr>
        <w:t xml:space="preserve">HEALTH, SAFETY &amp; ENVIRONMENT MANAGEMENT SYSTEM</w:t>
      </w:r>
    </w:p>
    <w:p>
      <w:pPr>
        <w:spacing w:after="0" w:before="40"/>
      </w:pPr>
      <w:r>
        <w:rPr>
          <w:rFonts w:ascii="Tahoma" w:cs="Tahoma" w:eastAsia="Tahoma" w:hAnsi="Tahoma"/>
          <w:color w:val="595959"/>
          <w:sz w:val="18"/>
          <w:szCs w:val="18"/>
        </w:rPr>
        <w:t xml:space="preserve">DAN Construction Safety Manual (DCSM)</w:t>
      </w:r>
    </w:p>
    <w:p>
      <w:pPr>
        <w:spacing w:after="0" w:before="720"/>
      </w:pPr>
      <w:r>
        <w:rPr>
          <w:rFonts w:ascii="Tahoma" w:cs="Tahoma" w:eastAsia="Tahoma" w:hAnsi="Tahoma"/>
          <w:b/>
          <w:bCs/>
          <w:color w:val="542A12"/>
          <w:sz w:val="44"/>
          <w:szCs w:val="44"/>
        </w:rPr>
        <w:t xml:space="preserve">Temporary Suspension of Work Notice</w:t>
      </w:r>
    </w:p>
    <w:p>
      <w:pPr>
        <w:pBdr>
          <w:top w:val="single" w:color="E68233" w:sz="12" w:space="8"/>
        </w:pBdr>
        <w:spacing w:after="0" w:before="200"/>
      </w:pPr>
      <w:r>
        <w:rPr>
          <w:rFonts w:ascii="Tahoma" w:cs="Tahoma" w:eastAsia="Tahoma" w:hAnsi="Tahoma"/>
          <w:sz w:val="8"/>
          <w:szCs w:val="8"/>
        </w:rPr>
        <w:t xml:space="preserve"/>
      </w:r>
    </w:p>
    <w:p>
      <w:pPr>
        <w:spacing w:after="120" w:before="480"/>
      </w:pPr>
      <w:r>
        <w:rPr>
          <w:rFonts w:ascii="Tahoma" w:cs="Tahoma" w:eastAsia="Tahoma" w:hAnsi="Tahoma"/>
          <w:b/>
          <w:bCs/>
          <w:color w:val="542A12"/>
          <w:sz w:val="22"/>
          <w:szCs w:val="2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Document No.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01-000001-000000-DAN-HSE-PRC-000010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Revision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R01</w:t>
            </w:r>
          </w:p>
        </w:tc>
      </w:tr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Issue Date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Controlled — Internal</w:t>
            </w:r>
          </w:p>
        </w:tc>
      </w:tr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HSE Department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Page Format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US Letter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60"/>
      </w:pPr>
      <w:r>
        <w:rPr>
          <w:rFonts w:ascii="Tahoma" w:cs="Tahoma" w:eastAsia="Tahoma" w:hAnsi="Tahoma"/>
          <w:b/>
          <w:bCs/>
          <w:color w:val="542A12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pPr>
            <w:spacing w:after="40" w:line="259"/>
            <w:ind w:left="0"/>
          </w:pPr>
          <w:hyperlink w:anchor="_DanToc9000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1. Purpose</w:t>
            </w:r>
          </w:hyperlink>
        </w:p>
        <w:p>
          <w:pPr>
            <w:spacing w:after="40" w:line="259"/>
            <w:ind w:left="0"/>
          </w:pPr>
          <w:hyperlink w:anchor="_DanToc9001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2. Scope</w:t>
            </w:r>
          </w:hyperlink>
        </w:p>
        <w:p>
          <w:pPr>
            <w:spacing w:after="40" w:line="259"/>
            <w:ind w:left="0"/>
          </w:pPr>
          <w:hyperlink w:anchor="_DanToc9002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3. References</w:t>
            </w:r>
          </w:hyperlink>
        </w:p>
        <w:p>
          <w:pPr>
            <w:spacing w:after="40" w:line="259"/>
            <w:ind w:left="0"/>
          </w:pPr>
          <w:hyperlink w:anchor="_DanToc9003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4. Definitions</w:t>
            </w:r>
          </w:hyperlink>
        </w:p>
        <w:p>
          <w:pPr>
            <w:spacing w:after="40" w:line="259"/>
            <w:ind w:left="0"/>
          </w:pPr>
          <w:hyperlink w:anchor="_DanToc9004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5. Deliverables</w:t>
            </w:r>
          </w:hyperlink>
        </w:p>
        <w:p>
          <w:pPr>
            <w:spacing w:after="40" w:line="259"/>
            <w:ind w:left="0"/>
          </w:pPr>
          <w:hyperlink w:anchor="_DanToc9005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6. Safety Violation Reports</w:t>
            </w:r>
          </w:hyperlink>
        </w:p>
        <w:p>
          <w:pPr>
            <w:spacing w:after="40" w:line="259"/>
            <w:ind w:left="0"/>
          </w:pPr>
          <w:hyperlink w:anchor="_DanToc9006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7. Temporary Suspension of Work Notice</w:t>
            </w:r>
          </w:hyperlink>
        </w:p>
        <w:p>
          <w:pPr>
            <w:spacing w:after="40" w:line="259"/>
            <w:ind w:left="0"/>
          </w:pPr>
          <w:hyperlink w:anchor="_DanToc9007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8. Follow-Up and Close-Out</w:t>
            </w:r>
          </w:hyperlink>
        </w:p>
        <w:p>
          <w:pPr>
            <w:spacing w:after="40" w:line="259"/>
            <w:ind w:left="0"/>
          </w:pPr>
          <w:hyperlink w:anchor="_DanToc9008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9. Records</w:t>
            </w:r>
          </w:hyperlink>
        </w:p>
        <w:p>
          <w:pPr>
            <w:spacing w:after="40" w:line="259"/>
            <w:ind w:left="0"/>
          </w:pPr>
          <w:hyperlink w:anchor="_DanToc9009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10. Related Documents</w:t>
            </w:r>
          </w:hyperlink>
        </w:p>
        <w:p>
          <w:pPr>
            <w:spacing w:after="40" w:line="259"/>
            <w:ind w:left="0"/>
          </w:pPr>
          <w:hyperlink w:anchor="_DanToc9010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Revision History</w:t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id="9000" w:name="_DanToc9000"/>
      <w:r>
        <w:t xml:space="preserve">1. Purpose</w:t>
      </w:r>
      <w:bookmarkEnd w:id="9000"/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This document details the required responses by the CONTRACTOR to a Safety Violation Report (SVR) and a Temporary Suspension of Work (TSW) notice, including resolution reporting and close-out. An SVR is any infraction or repeated violation of KSA law, the Programme and Project SH&amp;E Plans, or any contractual SH&amp;E requirement that poses a threat to the protection of life, health and the environment; SVRs are initiated when violations are identified.</w:t>
      </w:r>
    </w:p>
    <w:p>
      <w:pPr>
        <w:pStyle w:val="Heading1"/>
      </w:pPr>
      <w:bookmarkStart w:id="9001" w:name="_DanToc9001"/>
      <w:r>
        <w:t xml:space="preserve">2. Scope</w:t>
      </w:r>
      <w:bookmarkEnd w:id="9001"/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This document applies to all CONTRACTOR activities on DAN project sites where SH&amp;E violations may be identified and where temporary suspension of work may be required.</w:t>
      </w:r>
    </w:p>
    <w:p>
      <w:pPr>
        <w:pStyle w:val="Heading1"/>
      </w:pPr>
      <w:bookmarkStart w:id="9002" w:name="_DanToc9002"/>
      <w:r>
        <w:t xml:space="preserve">3. References</w:t>
      </w:r>
      <w:bookmarkEnd w:id="9002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General Requirements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SH&amp;E Risk Management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Accident / Incident Reporting and Investigation</w:t>
      </w:r>
    </w:p>
    <w:p>
      <w:pPr>
        <w:pStyle w:val="Heading1"/>
      </w:pPr>
      <w:bookmarkStart w:id="9003" w:name="_DanToc9003"/>
      <w:r>
        <w:t xml:space="preserve">4. Definitions</w:t>
      </w:r>
      <w:bookmarkEnd w:id="9003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SVR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Safety Violation Report — a documented infraction of SH&amp;E requirements.</w:t>
            </w:r>
          </w:p>
        </w:tc>
      </w:tr>
      <w:t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TSW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Temporary Suspension of Work notice.</w:t>
            </w:r>
          </w:p>
        </w:tc>
      </w:tr>
      <w:t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IDLH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Immediately Dangerous to Life and Health.</w:t>
            </w:r>
          </w:p>
        </w:tc>
      </w:tr>
    </w:tbl>
    <w:p>
      <w:pPr>
        <w:pStyle w:val="Heading1"/>
      </w:pPr>
      <w:bookmarkStart w:id="9004" w:name="_DanToc9004"/>
      <w:r>
        <w:t xml:space="preserve">5. Deliverables</w:t>
      </w:r>
      <w:bookmarkEnd w:id="9004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Ensure all temporary SVR notices are responded to with corrective actions within the stipulated time.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Monitor and verify that mitigation procedures are implemented.</w:t>
      </w:r>
    </w:p>
    <w:p>
      <w:pPr>
        <w:pStyle w:val="Heading1"/>
      </w:pPr>
      <w:bookmarkStart w:id="9005" w:name="_DanToc9005"/>
      <w:r>
        <w:t xml:space="preserve">6. Safety Violation Reports</w:t>
      </w:r>
      <w:bookmarkEnd w:id="9005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Violation reports are documented using photographic evidence and references to the relevant standards, laws and contractual requirements.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SVRs are submitted to the CONTRACTOR’s Project Manager and SH&amp;E Representative and logged in the Tracking Register.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CONTRACTOR sends the SVR close-out to the originator; where required, a site visit verifies the action taken.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When the DAN originator is satisfied with the close-out, the SVR is accepted and the register is updated.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If the close-out is unsatisfactory, the SVR is returned to the CONTRACTOR and remains open until further action is taken.</w:t>
      </w:r>
    </w:p>
    <w:p>
      <w:pPr>
        <w:spacing w:after="120" w:before="80"/>
      </w:pPr>
      <w:r>
        <w:rPr>
          <w:rFonts w:ascii="Tahoma" w:cs="Tahoma" w:eastAsia="Tahoma" w:hAnsi="Tahoma"/>
          <w:b/>
          <w:bCs/>
          <w:color w:val="542A12"/>
          <w:sz w:val="18"/>
          <w:szCs w:val="18"/>
        </w:rPr>
        <w:t xml:space="preserve">Note:  </w:t>
      </w:r>
      <w:r>
        <w:rPr>
          <w:rFonts w:ascii="Tahoma" w:cs="Tahoma" w:eastAsia="Tahoma" w:hAnsi="Tahoma"/>
          <w:color w:val="444444"/>
          <w:sz w:val="18"/>
          <w:szCs w:val="18"/>
        </w:rPr>
        <w:t xml:space="preserve">Only ONE violation is recorded on an SVR form; multiple violations must each be recorded on separate forms.</w:t>
      </w:r>
    </w:p>
    <w:p>
      <w:pPr>
        <w:pStyle w:val="Heading1"/>
      </w:pPr>
      <w:bookmarkStart w:id="9006" w:name="_DanToc9006"/>
      <w:r>
        <w:t xml:space="preserve">7. Temporary Suspension of Work Notice</w:t>
      </w:r>
      <w:bookmarkEnd w:id="9006"/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A Temporary Suspension of Work notice is issued at the discretion of DAN where there is a violation of safety and health regulations, including but not limited to: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A condition that is Immediately Dangerous to Life and Health (IDLH);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CONTRACTOR repeatedly failing to comply with SH&amp;E regulatory and/or contractual requirements;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CONTRACTOR carrying out activities that cause large-scale damage to the environment.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TSW details the CONTRACTOR’s poor performance and requires a response from the CONTRACTOR’s senior management. The “Notice of CONTRACTOR Violation of Safety and Health Regulations” form details the specific issues observed during the site inspection.</w:t>
      </w:r>
    </w:p>
    <w:p>
      <w:pPr>
        <w:pStyle w:val="Heading1"/>
      </w:pPr>
      <w:bookmarkStart w:id="9007" w:name="_DanToc9007"/>
      <w:r>
        <w:t xml:space="preserve">8. Follow-Up and Close-Out</w:t>
      </w:r>
      <w:bookmarkEnd w:id="9007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All SVRs are followed up until the non-compliance has been resolved and positively closed out.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Tracking Registers are regularly monitored to verify implementation and closure of all corrective actions; copies of relevant documents are filed and kept for review.</w:t>
      </w:r>
    </w:p>
    <w:p>
      <w:pPr>
        <w:pStyle w:val="Heading1"/>
      </w:pPr>
      <w:bookmarkStart w:id="9008" w:name="_DanToc9008"/>
      <w:r>
        <w:t xml:space="preserve">9. Records</w:t>
      </w:r>
      <w:bookmarkEnd w:id="9008"/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SVR forms, TSW notices, the Tracking Register and close-out evidence shall be maintained and made available to the DAN Representative on request.</w:t>
      </w:r>
    </w:p>
    <w:p>
      <w:pPr>
        <w:pStyle w:val="Heading1"/>
      </w:pPr>
      <w:bookmarkStart w:id="9009" w:name="_DanToc9009"/>
      <w:r>
        <w:t xml:space="preserve">10. Related Documents</w:t>
      </w:r>
      <w:bookmarkEnd w:id="9009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General Requirements (Stop Unsafe Work)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Accident / Incident Reporting and Investigation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Safety Violation Report (SVR) Form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Notice of CONTRACTOR Violation of Safety and Health Regulations Form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SVR Tracking Register</w:t>
      </w:r>
    </w:p>
    <w:p>
      <w:pPr>
        <w:pStyle w:val="Heading1"/>
      </w:pPr>
      <w:bookmarkStart w:id="9010" w:name="_DanToc9010"/>
      <w:r>
        <w:t xml:space="preserve">Revision History</w:t>
      </w:r>
      <w:bookmarkEnd w:id="9010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4460"/>
        <w:gridCol w:w="2400"/>
      </w:tblGrid>
      <w:tr>
        <w:trPr>
          <w:tblHeader/>
        </w:trP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Rev.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R00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Initial issue. Restructured to the DAN integrated HSSE management-system template and re-branded in accordance with the DAN Brand Book.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Project Director</w:t>
            </w:r>
          </w:p>
        </w:tc>
      </w:tr>
      <w:t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R01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Re-coded to the updated DAN document-numbering convention (01-000001-000000-DAN-{discipline}-{type}-{seq}).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Project Director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62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3AA" w:sz="6" w:space="4"/>
      </w:pBdr>
      <w:tabs>
        <w:tab w:val="right" w:pos="9360"/>
      </w:tabs>
    </w:pPr>
    <w:r>
      <w:rPr>
        <w:rFonts w:ascii="Tahoma" w:cs="Tahoma" w:eastAsia="Tahoma" w:hAnsi="Tahoma"/>
        <w:color w:val="595959"/>
        <w:sz w:val="14"/>
        <w:szCs w:val="14"/>
      </w:rPr>
      <w:t xml:space="preserve">DCSM — Temporary Suspension of Work</w:t>
    </w:r>
    <w:r>
      <w:rPr>
        <w:rFonts w:ascii="Tahoma" w:cs="Tahoma" w:eastAsia="Tahoma" w:hAnsi="Tahoma"/>
        <w:sz w:val="14"/>
        <w:szCs w:val="14"/>
      </w:rPr>
      <w:t xml:space="preserve">	</w:t>
    </w:r>
    <w:r>
      <w:rPr>
        <w:rFonts w:ascii="Tahoma" w:cs="Tahoma" w:eastAsia="Tahoma" w:hAnsi="Tahoma"/>
        <w:color w:val="595959"/>
        <w:sz w:val="14"/>
        <w:szCs w:val="14"/>
      </w:rPr>
      <w:t xml:space="preserve">Page </w:t>
    </w:r>
    <w:r>
      <w:rPr>
        <w:rFonts w:ascii="Tahoma" w:cs="Tahoma" w:eastAsia="Tahoma" w:hAnsi="Tahoma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Tahoma" w:cs="Tahoma" w:eastAsia="Tahoma" w:hAnsi="Tahoma"/>
        <w:color w:val="595959"/>
        <w:sz w:val="14"/>
        <w:szCs w:val="14"/>
      </w:rPr>
      <w:t xml:space="preserve"> of </w:t>
    </w:r>
    <w:r>
      <w:rPr>
        <w:rFonts w:ascii="Tahoma" w:cs="Tahoma" w:eastAsia="Tahoma" w:hAnsi="Tahoma"/>
        <w:color w:val="59595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Tahoma" w:cs="Tahoma" w:eastAsia="Tahoma" w:hAnsi="Tahoma"/>
              <w:b/>
              <w:bCs/>
              <w:color w:val="542A12"/>
              <w:sz w:val="22"/>
              <w:szCs w:val="22"/>
            </w:rPr>
            <w:t xml:space="preserve">DAN</w:t>
          </w:r>
          <w:r>
            <w:rPr>
              <w:rFonts w:ascii="Tahoma" w:cs="Tahoma" w:eastAsia="Tahoma" w:hAnsi="Tahoma"/>
              <w:color w:val="595959"/>
              <w:sz w:val="14"/>
              <w:szCs w:val="14"/>
            </w:rPr>
            <w:t xml:space="preserve">  |  HSSE Management System</w:t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Tahoma" w:cs="Tahoma" w:eastAsia="Tahoma" w:hAnsi="Tahoma"/>
              <w:color w:val="595959"/>
              <w:sz w:val="14"/>
              <w:szCs w:val="14"/>
            </w:rPr>
            <w:t xml:space="preserve">01-000001-000000-DAN-HSE-PRC-000010 · R01</w:t>
          </w:r>
        </w:p>
      </w:tc>
    </w:tr>
  </w:tbl>
  <w:p>
    <w:pPr>
      <w:pBdr>
        <w:bottom w:val="single" w:color="542A12" w:sz="6" w:space="1"/>
      </w:pBdr>
      <w:spacing w:before="4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270"/>
      </w:pPr>
      <w:rPr>
        <w:color w:val="542A1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00" w:hanging="270"/>
      </w:pPr>
      <w:rPr>
        <w:color w:val="E6823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CCC2" w:sz="4" w:space="4"/>
      </w:pBdr>
      <w:spacing w:after="140" w:before="280"/>
      <w:outlineLvl w:val="0"/>
    </w:pPr>
    <w:rPr>
      <w:rFonts w:ascii="Tahoma" w:cs="Tahoma" w:eastAsia="Tahoma" w:hAnsi="Tahoma"/>
      <w:b/>
      <w:bCs/>
      <w:color w:val="542A12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ahoma" w:cs="Tahoma" w:eastAsia="Tahoma" w:hAnsi="Tahoma"/>
      <w:b/>
      <w:bCs/>
      <w:color w:val="B569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1936a4fbd2c20a575d426ea593d61c06905c28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Temporary Suspension of Work Notice</dc:title>
  <dc:creator>DAN HSSE Management System</dc:creator>
  <cp:lastModifiedBy>Un-named</cp:lastModifiedBy>
  <cp:revision>1</cp:revision>
  <dcterms:created xsi:type="dcterms:W3CDTF">2026-06-27T21:19:26.050Z</dcterms:created>
  <dcterms:modified xsi:type="dcterms:W3CDTF">2026-06-27T21:19:26.050Z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