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Electrical Safety</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01-DAN-PRC-HSE-000033-ELECT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document defines the minimum requirements for the safe design, installation, use, maintenance and inspection of electrical systems and equipment on DAN projects, and for protecting personnel from electrical hazards including shock, arc flash, arc blast, burns and electrocution.</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electrical work and electrically powered equipment on DAN projects — permanent and temporary wiring, grounding, ground-fault protection, work on or near energised parts and overhead/underground power lines, batteries, extension cords and portable tools.</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29 CFR 1910 Subpart S; 29 CFR 1926 Subpart K — Electrical</w:t>
      </w:r>
    </w:p>
    <w:p>
      <w:pPr>
        <w:pStyle w:val="ListParagraph"/>
        <w:numPr>
          <w:ilvl w:val="0"/>
          <w:numId w:val="2"/>
        </w:numPr>
        <w:spacing w:after="60" w:line="268"/>
        <w:jc w:val="both"/>
      </w:pPr>
      <w:r>
        <w:rPr>
          <w:rFonts w:ascii="Tahoma" w:cs="Tahoma" w:eastAsia="Tahoma" w:hAnsi="Tahoma"/>
          <w:sz w:val="20"/>
          <w:szCs w:val="20"/>
        </w:rPr>
        <w:t xml:space="preserve">NFPA 70 — National Electrical Code (NEC); NFPA 70E — Electrical Safety in the Workplace</w:t>
      </w:r>
    </w:p>
    <w:p>
      <w:pPr>
        <w:pStyle w:val="ListParagraph"/>
        <w:numPr>
          <w:ilvl w:val="0"/>
          <w:numId w:val="2"/>
        </w:numPr>
        <w:spacing w:after="60" w:line="268"/>
        <w:jc w:val="both"/>
      </w:pPr>
      <w:r>
        <w:rPr>
          <w:rFonts w:ascii="Tahoma" w:cs="Tahoma" w:eastAsia="Tahoma" w:hAnsi="Tahoma"/>
          <w:sz w:val="20"/>
          <w:szCs w:val="20"/>
        </w:rPr>
        <w:t xml:space="preserve">EM 385-1-1, Section 11 — Electrical</w:t>
      </w:r>
    </w:p>
    <w:p>
      <w:pPr>
        <w:pStyle w:val="ListParagraph"/>
        <w:numPr>
          <w:ilvl w:val="0"/>
          <w:numId w:val="2"/>
        </w:numPr>
        <w:spacing w:after="60" w:line="268"/>
        <w:jc w:val="both"/>
      </w:pPr>
      <w:r>
        <w:rPr>
          <w:rFonts w:ascii="Tahoma" w:cs="Tahoma" w:eastAsia="Tahoma" w:hAnsi="Tahoma"/>
          <w:sz w:val="20"/>
          <w:szCs w:val="20"/>
        </w:rPr>
        <w:t xml:space="preserve">DCSM — Lockout / Tagout; DCSM — Personal Protective Equipment; DCSM — Cranes and Hoists</w:t>
      </w:r>
    </w:p>
    <w:p>
      <w:pPr>
        <w:pStyle w:val="Heading1"/>
      </w:pPr>
      <w:r>
        <w:t xml:space="preserve">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Qualified Person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One who has received training in and demonstrated skills and knowledge in the construction and operation of electrical equipment and the hazards involved.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Approach Distance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minimum safe distance personnel or equipment shall maintain from exposed energised conductors.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AEGCP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Assured Equipment Grounding Conductor Program.</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GFCI</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Ground-Fault Circuit Interrupter — a device that de-energises a circuit on detecting a ground fault.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De-energised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Free from any electrical connection to a source of potential difference and from electric charge; not necessarily safe until verified and grounded.</w:t>
            </w:r>
          </w:p>
        </w:tc>
      </w:tr>
    </w:tbl>
    <w:p>
      <w:pPr>
        <w:pStyle w:val="Heading1"/>
      </w:pPr>
      <w:r>
        <w:t xml:space="preserve">5. Deliverables</w:t>
      </w:r>
    </w:p>
    <w:p>
      <w:pPr>
        <w:pStyle w:val="ListParagraph"/>
        <w:numPr>
          <w:ilvl w:val="0"/>
          <w:numId w:val="2"/>
        </w:numPr>
        <w:spacing w:after="60" w:line="268"/>
        <w:jc w:val="both"/>
      </w:pPr>
      <w:r>
        <w:rPr>
          <w:rFonts w:ascii="Tahoma" w:cs="Tahoma" w:eastAsia="Tahoma" w:hAnsi="Tahoma"/>
          <w:sz w:val="20"/>
          <w:szCs w:val="20"/>
        </w:rPr>
        <w:t xml:space="preserve">Assured Equipment Grounding Conductor Program (AEGCP)</w:t>
      </w:r>
    </w:p>
    <w:p>
      <w:pPr>
        <w:pStyle w:val="ListParagraph"/>
        <w:numPr>
          <w:ilvl w:val="0"/>
          <w:numId w:val="2"/>
        </w:numPr>
        <w:spacing w:after="60" w:line="268"/>
        <w:jc w:val="both"/>
      </w:pPr>
      <w:r>
        <w:rPr>
          <w:rFonts w:ascii="Tahoma" w:cs="Tahoma" w:eastAsia="Tahoma" w:hAnsi="Tahoma"/>
          <w:sz w:val="20"/>
          <w:szCs w:val="20"/>
        </w:rPr>
        <w:t xml:space="preserve">Energised-work and approach-distance procedures</w:t>
      </w:r>
    </w:p>
    <w:p>
      <w:pPr>
        <w:pStyle w:val="ListParagraph"/>
        <w:numPr>
          <w:ilvl w:val="0"/>
          <w:numId w:val="2"/>
        </w:numPr>
        <w:spacing w:after="60" w:line="268"/>
        <w:jc w:val="both"/>
      </w:pPr>
      <w:r>
        <w:rPr>
          <w:rFonts w:ascii="Tahoma" w:cs="Tahoma" w:eastAsia="Tahoma" w:hAnsi="Tahoma"/>
          <w:sz w:val="20"/>
          <w:szCs w:val="20"/>
        </w:rPr>
        <w:t xml:space="preserve">GFCI / grounding test records</w:t>
      </w:r>
    </w:p>
    <w:p>
      <w:pPr>
        <w:pStyle w:val="ListParagraph"/>
        <w:numPr>
          <w:ilvl w:val="0"/>
          <w:numId w:val="2"/>
        </w:numPr>
        <w:spacing w:after="60" w:line="268"/>
        <w:jc w:val="both"/>
      </w:pPr>
      <w:r>
        <w:rPr>
          <w:rFonts w:ascii="Tahoma" w:cs="Tahoma" w:eastAsia="Tahoma" w:hAnsi="Tahoma"/>
          <w:sz w:val="20"/>
          <w:szCs w:val="20"/>
        </w:rPr>
        <w:t xml:space="preserve">Electrical inspection records</w:t>
      </w:r>
    </w:p>
    <w:p>
      <w:pPr>
        <w:pStyle w:val="Heading1"/>
      </w:pPr>
      <w:r>
        <w:t xml:space="preserve">6. General Requirements</w:t>
      </w:r>
    </w:p>
    <w:p>
      <w:pPr>
        <w:pStyle w:val="ListParagraph"/>
        <w:numPr>
          <w:ilvl w:val="0"/>
          <w:numId w:val="2"/>
        </w:numPr>
        <w:spacing w:after="60" w:line="268"/>
        <w:jc w:val="both"/>
      </w:pPr>
      <w:r>
        <w:rPr>
          <w:rFonts w:ascii="Tahoma" w:cs="Tahoma" w:eastAsia="Tahoma" w:hAnsi="Tahoma"/>
          <w:sz w:val="20"/>
          <w:szCs w:val="20"/>
        </w:rPr>
        <w:t xml:space="preserve">Only Qualified Persons shall install, maintain or work on electrical equipment; safe working clearances and approach distances shall be established and maintained.</w:t>
      </w:r>
    </w:p>
    <w:p>
      <w:pPr>
        <w:pStyle w:val="ListParagraph"/>
        <w:numPr>
          <w:ilvl w:val="0"/>
          <w:numId w:val="2"/>
        </w:numPr>
        <w:spacing w:after="60" w:line="268"/>
        <w:jc w:val="both"/>
      </w:pPr>
      <w:r>
        <w:rPr>
          <w:rFonts w:ascii="Tahoma" w:cs="Tahoma" w:eastAsia="Tahoma" w:hAnsi="Tahoma"/>
          <w:sz w:val="20"/>
          <w:szCs w:val="20"/>
        </w:rPr>
        <w:t xml:space="preserve">Electrical equipment shall be free from recognised hazards, listed/labelled by a nationally recognised testing laboratory where required, and installed and used in accordance with the manufacturer's instructions and the NEC.</w:t>
      </w:r>
    </w:p>
    <w:p>
      <w:pPr>
        <w:pStyle w:val="ListParagraph"/>
        <w:numPr>
          <w:ilvl w:val="0"/>
          <w:numId w:val="2"/>
        </w:numPr>
        <w:spacing w:after="60" w:line="268"/>
        <w:jc w:val="both"/>
      </w:pPr>
      <w:r>
        <w:rPr>
          <w:rFonts w:ascii="Tahoma" w:cs="Tahoma" w:eastAsia="Tahoma" w:hAnsi="Tahoma"/>
          <w:sz w:val="20"/>
          <w:szCs w:val="20"/>
        </w:rPr>
        <w:t xml:space="preserve">Live parts operating at 50 volts or more shall be guarded against accidental contact by approved enclosures, location or barriers; all work that requires hands-on contact shall include disconnection of all power sources, voltage testing and grounding.</w:t>
      </w:r>
    </w:p>
    <w:p>
      <w:pPr>
        <w:pStyle w:val="ListParagraph"/>
        <w:numPr>
          <w:ilvl w:val="0"/>
          <w:numId w:val="2"/>
        </w:numPr>
        <w:spacing w:after="60" w:line="268"/>
        <w:jc w:val="both"/>
      </w:pPr>
      <w:r>
        <w:rPr>
          <w:rFonts w:ascii="Tahoma" w:cs="Tahoma" w:eastAsia="Tahoma" w:hAnsi="Tahoma"/>
          <w:sz w:val="20"/>
          <w:szCs w:val="20"/>
        </w:rPr>
        <w:t xml:space="preserve">Each disconnecting means and circuit shall be legibly and durably marked to indicate its purpose; working space about electrical equipment shall be kept clear and adequately illuminated.</w:t>
      </w:r>
    </w:p>
    <w:p>
      <w:pPr>
        <w:pStyle w:val="Heading1"/>
      </w:pPr>
      <w:r>
        <w:t xml:space="preserve">7. Guarding and Over-Current Protection</w:t>
      </w:r>
    </w:p>
    <w:p>
      <w:pPr>
        <w:pStyle w:val="ListParagraph"/>
        <w:numPr>
          <w:ilvl w:val="0"/>
          <w:numId w:val="2"/>
        </w:numPr>
        <w:spacing w:after="60" w:line="268"/>
        <w:jc w:val="both"/>
      </w:pPr>
      <w:r>
        <w:rPr>
          <w:rFonts w:ascii="Tahoma" w:cs="Tahoma" w:eastAsia="Tahoma" w:hAnsi="Tahoma"/>
          <w:sz w:val="20"/>
          <w:szCs w:val="20"/>
        </w:rPr>
        <w:t xml:space="preserve">Energised parts shall be guarded by approved cabinets or enclosures, or by location or elevation, to prevent accidental contact; entrances to rooms containing exposed live parts shall be marked with conspicuous warning signs.</w:t>
      </w:r>
    </w:p>
    <w:p>
      <w:pPr>
        <w:pStyle w:val="ListParagraph"/>
        <w:numPr>
          <w:ilvl w:val="0"/>
          <w:numId w:val="2"/>
        </w:numPr>
        <w:spacing w:after="60" w:line="268"/>
        <w:jc w:val="both"/>
      </w:pPr>
      <w:r>
        <w:rPr>
          <w:rFonts w:ascii="Tahoma" w:cs="Tahoma" w:eastAsia="Tahoma" w:hAnsi="Tahoma"/>
          <w:sz w:val="20"/>
          <w:szCs w:val="20"/>
        </w:rPr>
        <w:t xml:space="preserve">Each service, feeder and branch circuit shall be protected against over-current in accordance with its ampacity; fuses and circuit breakers shall be readily accessible and not exposed to physical damage.</w:t>
      </w:r>
    </w:p>
    <w:p>
      <w:pPr>
        <w:pStyle w:val="ListParagraph"/>
        <w:numPr>
          <w:ilvl w:val="0"/>
          <w:numId w:val="2"/>
        </w:numPr>
        <w:spacing w:after="60" w:line="268"/>
        <w:jc w:val="both"/>
      </w:pPr>
      <w:r>
        <w:rPr>
          <w:rFonts w:ascii="Tahoma" w:cs="Tahoma" w:eastAsia="Tahoma" w:hAnsi="Tahoma"/>
          <w:sz w:val="20"/>
          <w:szCs w:val="20"/>
        </w:rPr>
        <w:t xml:space="preserve">Disconnecting means shall plainly indicate whether they are open or closed and shall be capable of being locked in the open position for LOTO.</w:t>
      </w:r>
    </w:p>
    <w:p>
      <w:pPr>
        <w:pStyle w:val="Heading1"/>
      </w:pPr>
      <w:r>
        <w:t xml:space="preserve">8. Grounding and Ground-Fault Protection</w:t>
      </w:r>
    </w:p>
    <w:p>
      <w:pPr>
        <w:pStyle w:val="ListParagraph"/>
        <w:numPr>
          <w:ilvl w:val="0"/>
          <w:numId w:val="2"/>
        </w:numPr>
        <w:spacing w:after="60" w:line="268"/>
        <w:jc w:val="both"/>
      </w:pPr>
      <w:r>
        <w:rPr>
          <w:rFonts w:ascii="Tahoma" w:cs="Tahoma" w:eastAsia="Tahoma" w:hAnsi="Tahoma"/>
          <w:sz w:val="20"/>
          <w:szCs w:val="20"/>
        </w:rPr>
        <w:t xml:space="preserve">Grounding shall be provided for all electrical systems, circuits and equipment in accordance with the NEC; the path to ground from circuits, equipment and enclosures shall be permanent, continuous and of adequate capacity.</w:t>
      </w:r>
    </w:p>
    <w:p>
      <w:pPr>
        <w:pStyle w:val="ListParagraph"/>
        <w:numPr>
          <w:ilvl w:val="0"/>
          <w:numId w:val="2"/>
        </w:numPr>
        <w:spacing w:after="60" w:line="268"/>
        <w:jc w:val="both"/>
      </w:pPr>
      <w:r>
        <w:rPr>
          <w:rFonts w:ascii="Tahoma" w:cs="Tahoma" w:eastAsia="Tahoma" w:hAnsi="Tahoma"/>
          <w:sz w:val="20"/>
          <w:szCs w:val="20"/>
        </w:rPr>
        <w:t xml:space="preserve">All 120-volt, single-phase, 15- and 20-ampere receptacle outlets that are not part of the permanent wiring shall be protected by a UL-listed GFCI; portable generators where the circuit conductors are bonded to the generator frame and all grounded surfaces need not be GFCI-protected.</w:t>
      </w:r>
    </w:p>
    <w:p>
      <w:pPr>
        <w:pStyle w:val="ListParagraph"/>
        <w:numPr>
          <w:ilvl w:val="0"/>
          <w:numId w:val="2"/>
        </w:numPr>
        <w:spacing w:after="60" w:line="268"/>
        <w:jc w:val="both"/>
      </w:pPr>
      <w:r>
        <w:rPr>
          <w:rFonts w:ascii="Tahoma" w:cs="Tahoma" w:eastAsia="Tahoma" w:hAnsi="Tahoma"/>
          <w:sz w:val="20"/>
          <w:szCs w:val="20"/>
        </w:rPr>
        <w:t xml:space="preserve">Where GFCI protection is not used, an Assured Equipment Grounding Conductor Program (AEGCP) shall be implemented, with required continuity and terminal tests using a volt-ohm meter or continuity tester and documented results.</w:t>
      </w:r>
    </w:p>
    <w:p>
      <w:pPr>
        <w:pStyle w:val="ListParagraph"/>
        <w:numPr>
          <w:ilvl w:val="0"/>
          <w:numId w:val="2"/>
        </w:numPr>
        <w:spacing w:after="60" w:line="268"/>
        <w:jc w:val="both"/>
      </w:pPr>
      <w:r>
        <w:rPr>
          <w:rFonts w:ascii="Tahoma" w:cs="Tahoma" w:eastAsia="Tahoma" w:hAnsi="Tahoma"/>
          <w:sz w:val="20"/>
          <w:szCs w:val="20"/>
        </w:rPr>
        <w:t xml:space="preserve">Equipment-grounding conductors shall be tested for continuity, and each receptacle and cord-and-plug-connected equipment tested for correct attachment of the grounding conductor, before first use, after repair, after suspected damage, and at the required intervals.</w:t>
      </w:r>
    </w:p>
    <w:p>
      <w:pPr>
        <w:pStyle w:val="Heading1"/>
      </w:pPr>
      <w:r>
        <w:t xml:space="preserve">9. Work On or Near Energised Parts</w:t>
      </w:r>
    </w:p>
    <w:p>
      <w:pPr>
        <w:pStyle w:val="ListParagraph"/>
        <w:numPr>
          <w:ilvl w:val="0"/>
          <w:numId w:val="2"/>
        </w:numPr>
        <w:spacing w:after="60" w:line="268"/>
        <w:jc w:val="both"/>
      </w:pPr>
      <w:r>
        <w:rPr>
          <w:rFonts w:ascii="Tahoma" w:cs="Tahoma" w:eastAsia="Tahoma" w:hAnsi="Tahoma"/>
          <w:sz w:val="20"/>
          <w:szCs w:val="20"/>
        </w:rPr>
        <w:t xml:space="preserve">Live parts shall be de-energised before work unless de-energising introduces additional or increased hazards or is infeasible; energised work requires written authorisation, a Qualified Person, the correct PPE (rated gloves, arc-rated clothing, eye/face protection) and insulated tools.</w:t>
      </w:r>
    </w:p>
    <w:p>
      <w:pPr>
        <w:pStyle w:val="ListParagraph"/>
        <w:numPr>
          <w:ilvl w:val="0"/>
          <w:numId w:val="2"/>
        </w:numPr>
        <w:spacing w:after="60" w:line="268"/>
        <w:jc w:val="both"/>
      </w:pPr>
      <w:r>
        <w:rPr>
          <w:rFonts w:ascii="Tahoma" w:cs="Tahoma" w:eastAsia="Tahoma" w:hAnsi="Tahoma"/>
          <w:sz w:val="20"/>
          <w:szCs w:val="20"/>
        </w:rPr>
        <w:t xml:space="preserve">A voltage tester shall be used to verify de-energisation before work; circuits shall be treated as energised until tested and grounded.</w:t>
      </w:r>
    </w:p>
    <w:p>
      <w:pPr>
        <w:pStyle w:val="ListParagraph"/>
        <w:numPr>
          <w:ilvl w:val="0"/>
          <w:numId w:val="2"/>
        </w:numPr>
        <w:spacing w:after="60" w:line="268"/>
        <w:jc w:val="both"/>
      </w:pPr>
      <w:r>
        <w:rPr>
          <w:rFonts w:ascii="Tahoma" w:cs="Tahoma" w:eastAsia="Tahoma" w:hAnsi="Tahoma"/>
          <w:sz w:val="20"/>
          <w:szCs w:val="20"/>
        </w:rPr>
        <w:t xml:space="preserve">De-energised conductors and equipment shall be isolated, locked and tagged in accordance with the Lockout / Tagout chapter, with protective grounds applied; "clearance" shall be controlled by a single authority who confirms all personnel are clear and grounds removed before releasing it.</w:t>
      </w:r>
    </w:p>
    <w:p>
      <w:pPr>
        <w:pStyle w:val="Heading1"/>
      </w:pPr>
      <w:r>
        <w:t xml:space="preserve">10. Overhead and Underground Power Lines</w:t>
      </w:r>
    </w:p>
    <w:p>
      <w:pPr>
        <w:spacing w:after="120" w:line="276"/>
        <w:jc w:val="both"/>
      </w:pPr>
      <w:r>
        <w:rPr>
          <w:rFonts w:ascii="Tahoma" w:cs="Tahoma" w:eastAsia="Tahoma" w:hAnsi="Tahoma"/>
          <w:sz w:val="20"/>
          <w:szCs w:val="20"/>
        </w:rPr>
        <w:t xml:space="preserve">High-voltage overhead power lines shall be considered energised unless the utility owner has confirmed de-energisation and visible grounding. Cranes and heavy equipment shall maintain the minimum clearances below, with any boom or mast unloaded and lowered to transport position when travelling beneath lines; excavators shall not operate within 10 ft (3 m) of any underground utility cable. The maximum height of equipment is determined by subtracting the applicable clearance from line height.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20"/>
        <w:gridCol w:w="2820"/>
        <w:gridCol w:w="2820"/>
      </w:tblGrid>
      <w:tr>
        <w:trPr>
          <w:tblHeader/>
        </w:trPr>
        <w:tc>
          <w:tcPr>
            <w:tcW w:type="dxa" w:w="37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Normal Voltage, kV (phase-to-phase)</w:t>
            </w:r>
          </w:p>
        </w:tc>
        <w:tc>
          <w:tcPr>
            <w:tcW w:type="dxa" w:w="28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Minimum Clearance (m)</w:t>
            </w:r>
          </w:p>
        </w:tc>
        <w:tc>
          <w:tcPr>
            <w:tcW w:type="dxa" w:w="28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Minimum Clearance (ft)</w:t>
            </w:r>
          </w:p>
        </w:tc>
      </w:tr>
      <w:tr>
        <w:tc>
          <w:tcPr>
            <w:tcW w:type="dxa" w:w="37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 to 0.75</w:t>
            </w:r>
          </w:p>
        </w:tc>
        <w:tc>
          <w:tcPr>
            <w:tcW w:type="dxa" w:w="28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1.2</w:t>
            </w:r>
          </w:p>
        </w:tc>
        <w:tc>
          <w:tcPr>
            <w:tcW w:type="dxa" w:w="28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r>
      <w:tr>
        <w:tc>
          <w:tcPr>
            <w:tcW w:type="dxa" w:w="37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&gt;0.75 to 50</w:t>
            </w:r>
          </w:p>
        </w:tc>
        <w:tc>
          <w:tcPr>
            <w:tcW w:type="dxa" w:w="28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1.8</w:t>
            </w:r>
          </w:p>
        </w:tc>
        <w:tc>
          <w:tcPr>
            <w:tcW w:type="dxa" w:w="28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w:t>
            </w:r>
          </w:p>
        </w:tc>
      </w:tr>
      <w:tr>
        <w:tc>
          <w:tcPr>
            <w:tcW w:type="dxa" w:w="37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&gt;50 to 345</w:t>
            </w:r>
          </w:p>
        </w:tc>
        <w:tc>
          <w:tcPr>
            <w:tcW w:type="dxa" w:w="28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3.0</w:t>
            </w:r>
          </w:p>
        </w:tc>
        <w:tc>
          <w:tcPr>
            <w:tcW w:type="dxa" w:w="28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w:t>
            </w:r>
          </w:p>
        </w:tc>
      </w:tr>
      <w:tr>
        <w:tc>
          <w:tcPr>
            <w:tcW w:type="dxa" w:w="37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&gt;345 to 750</w:t>
            </w:r>
          </w:p>
        </w:tc>
        <w:tc>
          <w:tcPr>
            <w:tcW w:type="dxa" w:w="28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5.0</w:t>
            </w:r>
          </w:p>
        </w:tc>
        <w:tc>
          <w:tcPr>
            <w:tcW w:type="dxa" w:w="28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16</w:t>
            </w:r>
          </w:p>
        </w:tc>
      </w:tr>
      <w:tr>
        <w:tc>
          <w:tcPr>
            <w:tcW w:type="dxa" w:w="37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&gt;750 to 1,000</w:t>
            </w:r>
          </w:p>
        </w:tc>
        <w:tc>
          <w:tcPr>
            <w:tcW w:type="dxa" w:w="28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6.0</w:t>
            </w:r>
          </w:p>
        </w:tc>
        <w:tc>
          <w:tcPr>
            <w:tcW w:type="dxa" w:w="28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20</w:t>
            </w:r>
          </w:p>
        </w:tc>
      </w:tr>
    </w:tbl>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Where it is difficult for the Operator to maintain the required clearance by visual means, a dedicated signal person (observer) shall be used.</w:t>
      </w:r>
    </w:p>
    <w:p>
      <w:pPr>
        <w:pStyle w:val="Heading1"/>
      </w:pPr>
      <w:r>
        <w:t xml:space="preserve">11. Temporary Wiring, Cords and Tools</w:t>
      </w:r>
    </w:p>
    <w:p>
      <w:pPr>
        <w:pStyle w:val="ListParagraph"/>
        <w:numPr>
          <w:ilvl w:val="0"/>
          <w:numId w:val="2"/>
        </w:numPr>
        <w:spacing w:after="60" w:line="268"/>
        <w:jc w:val="both"/>
      </w:pPr>
      <w:r>
        <w:rPr>
          <w:rFonts w:ascii="Tahoma" w:cs="Tahoma" w:eastAsia="Tahoma" w:hAnsi="Tahoma"/>
          <w:sz w:val="20"/>
          <w:szCs w:val="20"/>
        </w:rPr>
        <w:t xml:space="preserve">Temporary wiring shall be guarded, supported and protected from damage; lamps for general illumination shall be protected from breakage by guards and shall not be suspended by their cords unless designed for the purpose.</w:t>
      </w:r>
    </w:p>
    <w:p>
      <w:pPr>
        <w:pStyle w:val="ListParagraph"/>
        <w:numPr>
          <w:ilvl w:val="0"/>
          <w:numId w:val="2"/>
        </w:numPr>
        <w:spacing w:after="60" w:line="268"/>
        <w:jc w:val="both"/>
      </w:pPr>
      <w:r>
        <w:rPr>
          <w:rFonts w:ascii="Tahoma" w:cs="Tahoma" w:eastAsia="Tahoma" w:hAnsi="Tahoma"/>
          <w:sz w:val="20"/>
          <w:szCs w:val="20"/>
        </w:rPr>
        <w:t xml:space="preserve">Flexible cords and cables shall be of an approved type, free from splices/taps (except molded), protected from damage, and not run through holes, doorways or concealed in walls/floors; damaged cords shall be removed from service.</w:t>
      </w:r>
    </w:p>
    <w:p>
      <w:pPr>
        <w:pStyle w:val="ListParagraph"/>
        <w:numPr>
          <w:ilvl w:val="0"/>
          <w:numId w:val="2"/>
        </w:numPr>
        <w:spacing w:after="60" w:line="268"/>
        <w:jc w:val="both"/>
      </w:pPr>
      <w:r>
        <w:rPr>
          <w:rFonts w:ascii="Tahoma" w:cs="Tahoma" w:eastAsia="Tahoma" w:hAnsi="Tahoma"/>
          <w:sz w:val="20"/>
          <w:szCs w:val="20"/>
        </w:rPr>
        <w:t xml:space="preserve">Portable and cord-and-plug equipment shall be visually inspected before use for external defects and grounded or double-insulated; conductors shall be sized to avoid overload and voltage drop that could cause light failure or short circuits.</w:t>
      </w:r>
    </w:p>
    <w:p>
      <w:pPr>
        <w:pStyle w:val="Heading1"/>
      </w:pPr>
      <w:r>
        <w:t xml:space="preserve">12. Batteries and Battery Charging</w:t>
      </w:r>
    </w:p>
    <w:p>
      <w:pPr>
        <w:pStyle w:val="ListParagraph"/>
        <w:numPr>
          <w:ilvl w:val="0"/>
          <w:numId w:val="2"/>
        </w:numPr>
        <w:spacing w:after="60" w:line="268"/>
        <w:jc w:val="both"/>
      </w:pPr>
      <w:r>
        <w:rPr>
          <w:rFonts w:ascii="Tahoma" w:cs="Tahoma" w:eastAsia="Tahoma" w:hAnsi="Tahoma"/>
          <w:sz w:val="20"/>
          <w:szCs w:val="20"/>
        </w:rPr>
        <w:t xml:space="preserve">Battery charging shall be carried out in designated, well-ventilated areas with warning signs; smoking, open flames and sparks are prohibited near charging operations because of hydrogen gas.</w:t>
      </w:r>
    </w:p>
    <w:p>
      <w:pPr>
        <w:pStyle w:val="ListParagraph"/>
        <w:numPr>
          <w:ilvl w:val="0"/>
          <w:numId w:val="2"/>
        </w:numPr>
        <w:spacing w:after="60" w:line="268"/>
        <w:jc w:val="both"/>
      </w:pPr>
      <w:r>
        <w:rPr>
          <w:rFonts w:ascii="Tahoma" w:cs="Tahoma" w:eastAsia="Tahoma" w:hAnsi="Tahoma"/>
          <w:sz w:val="20"/>
          <w:szCs w:val="20"/>
        </w:rPr>
        <w:t xml:space="preserve">Eye/face protection and acid-resistant PPE shall be worn when handling electrolyte; facilities for flushing/neutralising spilled electrolyte and for fire protection shall be provided.</w:t>
      </w:r>
    </w:p>
    <w:p>
      <w:pPr>
        <w:pStyle w:val="ListParagraph"/>
        <w:numPr>
          <w:ilvl w:val="0"/>
          <w:numId w:val="2"/>
        </w:numPr>
        <w:spacing w:after="60" w:line="268"/>
        <w:jc w:val="both"/>
      </w:pPr>
      <w:r>
        <w:rPr>
          <w:rFonts w:ascii="Tahoma" w:cs="Tahoma" w:eastAsia="Tahoma" w:hAnsi="Tahoma"/>
          <w:sz w:val="20"/>
          <w:szCs w:val="20"/>
        </w:rPr>
        <w:t xml:space="preserve">Tools and metal objects shall be kept away from the tops of uncovered batteries; only insulated tools shall be used; vent caps shall be in place when moving batteries.</w:t>
      </w:r>
    </w:p>
    <w:p>
      <w:pPr>
        <w:pStyle w:val="Heading1"/>
      </w:pPr>
      <w:r>
        <w:t xml:space="preserve">13. Maintenance and Inspection</w:t>
      </w:r>
    </w:p>
    <w:p>
      <w:pPr>
        <w:pStyle w:val="ListParagraph"/>
        <w:numPr>
          <w:ilvl w:val="0"/>
          <w:numId w:val="2"/>
        </w:numPr>
        <w:spacing w:after="60" w:line="268"/>
        <w:jc w:val="both"/>
      </w:pPr>
      <w:r>
        <w:rPr>
          <w:rFonts w:ascii="Tahoma" w:cs="Tahoma" w:eastAsia="Tahoma" w:hAnsi="Tahoma"/>
          <w:sz w:val="20"/>
          <w:szCs w:val="20"/>
        </w:rPr>
        <w:t xml:space="preserve">A preventive-maintenance program based on manufacturer recommendations shall be established; before maintenance, equipment shall be de-energised, locked and tagged and verified dead.</w:t>
      </w:r>
    </w:p>
    <w:p>
      <w:pPr>
        <w:pStyle w:val="ListParagraph"/>
        <w:numPr>
          <w:ilvl w:val="0"/>
          <w:numId w:val="2"/>
        </w:numPr>
        <w:spacing w:after="60" w:line="268"/>
        <w:jc w:val="both"/>
      </w:pPr>
      <w:r>
        <w:rPr>
          <w:rFonts w:ascii="Tahoma" w:cs="Tahoma" w:eastAsia="Tahoma" w:hAnsi="Tahoma"/>
          <w:sz w:val="20"/>
          <w:szCs w:val="20"/>
        </w:rPr>
        <w:t xml:space="preserve">Electrical systems and equipment shall be inspected at regular intervals; defective or unsafe equipment shall be removed from service, tagged "OUT OF SERVICE" and not returned until repaired and re-inspected by a Qualified Person.</w:t>
      </w:r>
    </w:p>
    <w:p>
      <w:pPr>
        <w:pStyle w:val="ListParagraph"/>
        <w:numPr>
          <w:ilvl w:val="0"/>
          <w:numId w:val="2"/>
        </w:numPr>
        <w:spacing w:after="60" w:line="268"/>
        <w:jc w:val="both"/>
      </w:pPr>
      <w:r>
        <w:rPr>
          <w:rFonts w:ascii="Tahoma" w:cs="Tahoma" w:eastAsia="Tahoma" w:hAnsi="Tahoma"/>
          <w:sz w:val="20"/>
          <w:szCs w:val="20"/>
        </w:rPr>
        <w:t xml:space="preserve">Inspection and test records (AEGCP, GFCI, grounding) shall be maintained and furnished to the SH&amp;E Representative.</w:t>
      </w:r>
    </w:p>
    <w:p>
      <w:pPr>
        <w:pStyle w:val="Heading1"/>
      </w:pPr>
      <w:r>
        <w:t xml:space="preserve">14. Training</w:t>
      </w:r>
    </w:p>
    <w:p>
      <w:pPr>
        <w:spacing w:after="120" w:line="276"/>
        <w:jc w:val="both"/>
      </w:pPr>
      <w:r>
        <w:rPr>
          <w:rFonts w:ascii="Tahoma" w:cs="Tahoma" w:eastAsia="Tahoma" w:hAnsi="Tahoma"/>
          <w:sz w:val="20"/>
          <w:szCs w:val="20"/>
        </w:rPr>
        <w:t xml:space="preserve">Qualified Persons shall be trained in and demonstrate skills in the safe construction and operation of the electrical equipment they work on, the hazards involved, approach distances, and the selection and use of insulating PPE and tools. Retraining is provided when work practices change, when an employee is observed working unsafely, or when new hazards or equipment are introduced. The Records Custodian documents all instruction, training and retraining.</w:t>
      </w:r>
    </w:p>
    <w:p>
      <w:pPr>
        <w:pStyle w:val="Heading1"/>
      </w:pPr>
      <w:r>
        <w:t xml:space="preserve">15. Records / Documentation</w:t>
      </w:r>
    </w:p>
    <w:p>
      <w:pPr>
        <w:spacing w:after="120" w:line="276"/>
        <w:jc w:val="both"/>
      </w:pPr>
      <w:r>
        <w:rPr>
          <w:rFonts w:ascii="Tahoma" w:cs="Tahoma" w:eastAsia="Tahoma" w:hAnsi="Tahoma"/>
          <w:sz w:val="20"/>
          <w:szCs w:val="20"/>
        </w:rPr>
        <w:t xml:space="preserve">AEGCP and GFCI/grounding test logs, energised-work authorisations, inspection records and training records shall be maintained on-site for the duration of the project and archived at project close.</w:t>
      </w:r>
    </w:p>
    <w:p>
      <w:pPr>
        <w:pStyle w:val="Heading1"/>
      </w:pPr>
      <w:r>
        <w:t xml:space="preserve">16. Related Documents</w:t>
      </w:r>
    </w:p>
    <w:p>
      <w:pPr>
        <w:pStyle w:val="ListParagraph"/>
        <w:numPr>
          <w:ilvl w:val="0"/>
          <w:numId w:val="2"/>
        </w:numPr>
        <w:spacing w:after="60" w:line="268"/>
        <w:jc w:val="both"/>
      </w:pPr>
      <w:r>
        <w:rPr>
          <w:rFonts w:ascii="Tahoma" w:cs="Tahoma" w:eastAsia="Tahoma" w:hAnsi="Tahoma"/>
          <w:sz w:val="20"/>
          <w:szCs w:val="20"/>
        </w:rPr>
        <w:t xml:space="preserve">DCSM — Lockout / Tagout</w:t>
      </w:r>
    </w:p>
    <w:p>
      <w:pPr>
        <w:pStyle w:val="ListParagraph"/>
        <w:numPr>
          <w:ilvl w:val="0"/>
          <w:numId w:val="2"/>
        </w:numPr>
        <w:spacing w:after="60" w:line="268"/>
        <w:jc w:val="both"/>
      </w:pPr>
      <w:r>
        <w:rPr>
          <w:rFonts w:ascii="Tahoma" w:cs="Tahoma" w:eastAsia="Tahoma" w:hAnsi="Tahoma"/>
          <w:sz w:val="20"/>
          <w:szCs w:val="20"/>
        </w:rPr>
        <w:t xml:space="preserve">DCSM — Personal Protective Equipment</w:t>
      </w:r>
    </w:p>
    <w:p>
      <w:pPr>
        <w:pStyle w:val="ListParagraph"/>
        <w:numPr>
          <w:ilvl w:val="0"/>
          <w:numId w:val="2"/>
        </w:numPr>
        <w:spacing w:after="60" w:line="268"/>
        <w:jc w:val="both"/>
      </w:pPr>
      <w:r>
        <w:rPr>
          <w:rFonts w:ascii="Tahoma" w:cs="Tahoma" w:eastAsia="Tahoma" w:hAnsi="Tahoma"/>
          <w:sz w:val="20"/>
          <w:szCs w:val="20"/>
        </w:rPr>
        <w:t xml:space="preserve">DCSM — Cranes and Hoists</w:t>
      </w:r>
    </w:p>
    <w:p>
      <w:pPr>
        <w:pStyle w:val="ListParagraph"/>
        <w:numPr>
          <w:ilvl w:val="0"/>
          <w:numId w:val="2"/>
        </w:numPr>
        <w:spacing w:after="60" w:line="268"/>
        <w:jc w:val="both"/>
      </w:pPr>
      <w:r>
        <w:rPr>
          <w:rFonts w:ascii="Tahoma" w:cs="Tahoma" w:eastAsia="Tahoma" w:hAnsi="Tahoma"/>
          <w:sz w:val="20"/>
          <w:szCs w:val="20"/>
        </w:rPr>
        <w:t xml:space="preserve">DCSM — Permit to Work</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Electrical Safety</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01-DAN-PRC-HSE-000033-ELECT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Electrical Safety</dc:title>
  <dc:creator>DAN HSSE Management System</dc:creator>
  <cp:lastModifiedBy>Un-named</cp:lastModifiedBy>
  <cp:revision>1</cp:revision>
  <dcterms:created xsi:type="dcterms:W3CDTF">2026-06-27T21:52:28.031Z</dcterms:created>
  <dcterms:modified xsi:type="dcterms:W3CDTF">2026-06-27T21:52:28.031Z</dcterms:modified>
</cp:coreProperties>
</file>

<file path=docProps/custom.xml><?xml version="1.0" encoding="utf-8"?>
<Properties xmlns="http://schemas.openxmlformats.org/officeDocument/2006/custom-properties" xmlns:vt="http://schemas.openxmlformats.org/officeDocument/2006/docPropsVTypes"/>
</file>