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pPr>
      <w:r>
        <w:drawing>
          <wp:inline distT="0" distB="0" distL="0" distR="0">
            <wp:extent cx="1428750" cy="1104900"/>
            <wp:effectExtent t="0" r="0" b="0" l="0"/>
            <wp:docPr id="1" name="DAN" descr="DAN Company logo" title="D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428750" cy="1104900"/>
                    </a:xfrm>
                    <a:prstGeom prst="rect">
                      <a:avLst/>
                    </a:prstGeom>
                  </pic:spPr>
                </pic:pic>
              </a:graphicData>
            </a:graphic>
          </wp:inline>
        </w:drawing>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2340"/>
        <w:gridCol w:w="2340"/>
        <w:gridCol w:w="2340"/>
        <w:gridCol w:w="2340"/>
      </w:tblGrid>
      <w:tr>
        <w:tc>
          <w:tcPr>
            <w:tcW w:type="dxa" w:w="2340"/>
            <w:tcBorders>
              <w:top w:val="none" w:color="FFFFFF" w:sz="0"/>
              <w:left w:val="none" w:color="FFFFFF" w:sz="0"/>
              <w:bottom w:val="none" w:color="FFFFFF" w:sz="0"/>
              <w:right w:val="none" w:color="FFFFFF" w:sz="0"/>
            </w:tcBorders>
            <w:shd w:fill="19648B" w:color="auto" w:val="clear"/>
          </w:tcPr>
          <w:p>
            <w:pPr>
              <w:spacing w:after="0" w:before="0"/>
            </w:pPr>
            <w:r>
              <w:rPr>
                <w:sz w:val="8"/>
                <w:szCs w:val="8"/>
              </w:rPr>
              <w:t xml:space="preserve"> </w:t>
            </w:r>
          </w:p>
        </w:tc>
        <w:tc>
          <w:tcPr>
            <w:tcW w:type="dxa" w:w="2340"/>
            <w:tcBorders>
              <w:top w:val="none" w:color="FFFFFF" w:sz="0"/>
              <w:left w:val="none" w:color="FFFFFF" w:sz="0"/>
              <w:bottom w:val="none" w:color="FFFFFF" w:sz="0"/>
              <w:right w:val="none" w:color="FFFFFF" w:sz="0"/>
            </w:tcBorders>
            <w:shd w:fill="119D88" w:color="auto" w:val="clear"/>
          </w:tcPr>
          <w:p>
            <w:pPr>
              <w:spacing w:after="0" w:before="0"/>
            </w:pPr>
            <w:r>
              <w:rPr>
                <w:sz w:val="8"/>
                <w:szCs w:val="8"/>
              </w:rPr>
              <w:t xml:space="preserve"> </w:t>
            </w:r>
          </w:p>
        </w:tc>
        <w:tc>
          <w:tcPr>
            <w:tcW w:type="dxa" w:w="2340"/>
            <w:tcBorders>
              <w:top w:val="none" w:color="FFFFFF" w:sz="0"/>
              <w:left w:val="none" w:color="FFFFFF" w:sz="0"/>
              <w:bottom w:val="none" w:color="FFFFFF" w:sz="0"/>
              <w:right w:val="none" w:color="FFFFFF" w:sz="0"/>
            </w:tcBorders>
            <w:shd w:fill="E68233" w:color="auto" w:val="clear"/>
          </w:tcPr>
          <w:p>
            <w:pPr>
              <w:spacing w:after="0" w:before="0"/>
            </w:pPr>
            <w:r>
              <w:rPr>
                <w:sz w:val="8"/>
                <w:szCs w:val="8"/>
              </w:rPr>
              <w:t xml:space="preserve"> </w:t>
            </w:r>
          </w:p>
        </w:tc>
        <w:tc>
          <w:tcPr>
            <w:tcW w:type="dxa" w:w="2340"/>
            <w:tcBorders>
              <w:top w:val="none" w:color="FFFFFF" w:sz="0"/>
              <w:left w:val="none" w:color="FFFFFF" w:sz="0"/>
              <w:bottom w:val="none" w:color="FFFFFF" w:sz="0"/>
              <w:right w:val="none" w:color="FFFFFF" w:sz="0"/>
            </w:tcBorders>
            <w:shd w:fill="B33533" w:color="auto" w:val="clear"/>
          </w:tcPr>
          <w:p>
            <w:pPr>
              <w:spacing w:after="0" w:before="0"/>
            </w:pPr>
            <w:r>
              <w:rPr>
                <w:sz w:val="8"/>
                <w:szCs w:val="8"/>
              </w:rPr>
              <w:t xml:space="preserve"> </w:t>
            </w:r>
          </w:p>
        </w:tc>
      </w:tr>
    </w:tbl>
    <w:p>
      <w:pPr>
        <w:spacing w:after="0" w:before="480"/>
      </w:pPr>
      <w:r>
        <w:rPr>
          <w:rFonts w:ascii="Tahoma" w:cs="Tahoma" w:eastAsia="Tahoma" w:hAnsi="Tahoma"/>
          <w:b/>
          <w:bCs/>
          <w:color w:val="595959"/>
          <w:spacing w:val="30"/>
          <w:sz w:val="20"/>
          <w:szCs w:val="20"/>
        </w:rPr>
        <w:t xml:space="preserve">HEALTH, SAFETY &amp; ENVIRONMENT MANAGEMENT SYSTEM</w:t>
      </w:r>
    </w:p>
    <w:p>
      <w:pPr>
        <w:spacing w:after="0" w:before="40"/>
      </w:pPr>
      <w:r>
        <w:rPr>
          <w:rFonts w:ascii="Tahoma" w:cs="Tahoma" w:eastAsia="Tahoma" w:hAnsi="Tahoma"/>
          <w:color w:val="595959"/>
          <w:sz w:val="18"/>
          <w:szCs w:val="18"/>
        </w:rPr>
        <w:t xml:space="preserve">DAN Construction Safety Manual (DCSM)</w:t>
      </w:r>
    </w:p>
    <w:p>
      <w:pPr>
        <w:spacing w:after="0" w:before="720"/>
      </w:pPr>
      <w:r>
        <w:rPr>
          <w:rFonts w:ascii="Tahoma" w:cs="Tahoma" w:eastAsia="Tahoma" w:hAnsi="Tahoma"/>
          <w:b/>
          <w:bCs/>
          <w:color w:val="542A12"/>
          <w:sz w:val="44"/>
          <w:szCs w:val="44"/>
        </w:rPr>
        <w:t xml:space="preserve">Lockout / Tagout (LOTO)</w:t>
      </w:r>
    </w:p>
    <w:p>
      <w:pPr>
        <w:pBdr>
          <w:top w:val="single" w:color="E68233" w:sz="12" w:space="8"/>
        </w:pBdr>
        <w:spacing w:after="0" w:before="200"/>
      </w:pPr>
      <w:r>
        <w:rPr>
          <w:rFonts w:ascii="Tahoma" w:cs="Tahoma" w:eastAsia="Tahoma" w:hAnsi="Tahoma"/>
          <w:sz w:val="8"/>
          <w:szCs w:val="8"/>
        </w:rPr>
        <w:t xml:space="preserve"/>
      </w:r>
    </w:p>
    <w:p>
      <w:pPr>
        <w:spacing w:after="120" w:before="480"/>
      </w:pPr>
      <w:r>
        <w:rPr>
          <w:rFonts w:ascii="Tahoma" w:cs="Tahoma" w:eastAsia="Tahoma" w:hAnsi="Tahoma"/>
          <w:b/>
          <w:bCs/>
          <w:color w:val="542A12"/>
          <w:sz w:val="22"/>
          <w:szCs w:val="22"/>
        </w:rPr>
        <w:t xml:space="preserve">Document Control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BFB3AA" w:sz="4"/>
              <w:left w:val="single" w:color="BFB3AA" w:sz="4"/>
              <w:bottom w:val="single" w:color="BFB3AA" w:sz="4"/>
              <w:right w:val="single" w:color="BFB3AA" w:sz="4"/>
            </w:tcBorders>
            <w:shd w:fill="EFE7E1" w:color="auto" w:val="clear"/>
            <w:tcMar>
              <w:top w:type="dxa" w:w="60"/>
              <w:left w:type="dxa" w:w="120"/>
              <w:bottom w:type="dxa" w:w="60"/>
              <w:right w:type="dxa" w:w="120"/>
            </w:tcMar>
            <w:vAlign w:val="center"/>
          </w:tcPr>
          <w:p>
            <w:r>
              <w:rPr>
                <w:rFonts w:ascii="Tahoma" w:cs="Tahoma" w:eastAsia="Tahoma" w:hAnsi="Tahoma"/>
                <w:b/>
                <w:bCs/>
                <w:color w:val="542A12"/>
                <w:sz w:val="18"/>
                <w:szCs w:val="18"/>
              </w:rPr>
              <w:t xml:space="preserve">Document No.</w:t>
            </w:r>
          </w:p>
        </w:tc>
        <w:tc>
          <w:tcPr>
            <w:tcW w:type="dxa" w:w="23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01-DAN-PRC-HSE-000034-LOTO</w:t>
            </w:r>
          </w:p>
        </w:tc>
        <w:tc>
          <w:tcPr>
            <w:tcW w:type="dxa" w:w="2340"/>
            <w:tcBorders>
              <w:top w:val="single" w:color="BFB3AA" w:sz="4"/>
              <w:left w:val="single" w:color="BFB3AA" w:sz="4"/>
              <w:bottom w:val="single" w:color="BFB3AA" w:sz="4"/>
              <w:right w:val="single" w:color="BFB3AA" w:sz="4"/>
            </w:tcBorders>
            <w:shd w:fill="EFE7E1" w:color="auto" w:val="clear"/>
            <w:tcMar>
              <w:top w:type="dxa" w:w="60"/>
              <w:left w:type="dxa" w:w="120"/>
              <w:bottom w:type="dxa" w:w="60"/>
              <w:right w:type="dxa" w:w="120"/>
            </w:tcMar>
            <w:vAlign w:val="center"/>
          </w:tcPr>
          <w:p>
            <w:r>
              <w:rPr>
                <w:rFonts w:ascii="Tahoma" w:cs="Tahoma" w:eastAsia="Tahoma" w:hAnsi="Tahoma"/>
                <w:b/>
                <w:bCs/>
                <w:color w:val="542A12"/>
                <w:sz w:val="18"/>
                <w:szCs w:val="18"/>
              </w:rPr>
              <w:t xml:space="preserve">Revision</w:t>
            </w:r>
          </w:p>
        </w:tc>
        <w:tc>
          <w:tcPr>
            <w:tcW w:type="dxa" w:w="23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R01</w:t>
            </w:r>
          </w:p>
        </w:tc>
      </w:tr>
      <w:tr>
        <w:tc>
          <w:tcPr>
            <w:tcW w:type="dxa" w:w="2340"/>
            <w:tcBorders>
              <w:top w:val="single" w:color="BFB3AA" w:sz="4"/>
              <w:left w:val="single" w:color="BFB3AA" w:sz="4"/>
              <w:bottom w:val="single" w:color="BFB3AA" w:sz="4"/>
              <w:right w:val="single" w:color="BFB3AA" w:sz="4"/>
            </w:tcBorders>
            <w:shd w:fill="EFE7E1" w:color="auto" w:val="clear"/>
            <w:tcMar>
              <w:top w:type="dxa" w:w="60"/>
              <w:left w:type="dxa" w:w="120"/>
              <w:bottom w:type="dxa" w:w="60"/>
              <w:right w:type="dxa" w:w="120"/>
            </w:tcMar>
            <w:vAlign w:val="center"/>
          </w:tcPr>
          <w:p>
            <w:r>
              <w:rPr>
                <w:rFonts w:ascii="Tahoma" w:cs="Tahoma" w:eastAsia="Tahoma" w:hAnsi="Tahoma"/>
                <w:b/>
                <w:bCs/>
                <w:color w:val="542A12"/>
                <w:sz w:val="18"/>
                <w:szCs w:val="18"/>
              </w:rPr>
              <w:t xml:space="preserve">Issue Date</w:t>
            </w:r>
          </w:p>
        </w:tc>
        <w:tc>
          <w:tcPr>
            <w:tcW w:type="dxa" w:w="23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June 2026</w:t>
            </w:r>
          </w:p>
        </w:tc>
        <w:tc>
          <w:tcPr>
            <w:tcW w:type="dxa" w:w="2340"/>
            <w:tcBorders>
              <w:top w:val="single" w:color="BFB3AA" w:sz="4"/>
              <w:left w:val="single" w:color="BFB3AA" w:sz="4"/>
              <w:bottom w:val="single" w:color="BFB3AA" w:sz="4"/>
              <w:right w:val="single" w:color="BFB3AA" w:sz="4"/>
            </w:tcBorders>
            <w:shd w:fill="EFE7E1" w:color="auto" w:val="clear"/>
            <w:tcMar>
              <w:top w:type="dxa" w:w="60"/>
              <w:left w:type="dxa" w:w="120"/>
              <w:bottom w:type="dxa" w:w="60"/>
              <w:right w:type="dxa" w:w="120"/>
            </w:tcMar>
            <w:vAlign w:val="center"/>
          </w:tcPr>
          <w:p>
            <w:r>
              <w:rPr>
                <w:rFonts w:ascii="Tahoma" w:cs="Tahoma" w:eastAsia="Tahoma" w:hAnsi="Tahoma"/>
                <w:b/>
                <w:bCs/>
                <w:color w:val="542A12"/>
                <w:sz w:val="18"/>
                <w:szCs w:val="18"/>
              </w:rPr>
              <w:t xml:space="preserve">Classification</w:t>
            </w:r>
          </w:p>
        </w:tc>
        <w:tc>
          <w:tcPr>
            <w:tcW w:type="dxa" w:w="23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Controlled — Internal</w:t>
            </w:r>
          </w:p>
        </w:tc>
      </w:tr>
      <w:tr>
        <w:tc>
          <w:tcPr>
            <w:tcW w:type="dxa" w:w="2340"/>
            <w:tcBorders>
              <w:top w:val="single" w:color="BFB3AA" w:sz="4"/>
              <w:left w:val="single" w:color="BFB3AA" w:sz="4"/>
              <w:bottom w:val="single" w:color="BFB3AA" w:sz="4"/>
              <w:right w:val="single" w:color="BFB3AA" w:sz="4"/>
            </w:tcBorders>
            <w:shd w:fill="EFE7E1" w:color="auto" w:val="clear"/>
            <w:tcMar>
              <w:top w:type="dxa" w:w="60"/>
              <w:left w:type="dxa" w:w="120"/>
              <w:bottom w:type="dxa" w:w="60"/>
              <w:right w:type="dxa" w:w="120"/>
            </w:tcMar>
            <w:vAlign w:val="center"/>
          </w:tcPr>
          <w:p>
            <w:r>
              <w:rPr>
                <w:rFonts w:ascii="Tahoma" w:cs="Tahoma" w:eastAsia="Tahoma" w:hAnsi="Tahoma"/>
                <w:b/>
                <w:bCs/>
                <w:color w:val="542A12"/>
                <w:sz w:val="18"/>
                <w:szCs w:val="18"/>
              </w:rPr>
              <w:t xml:space="preserve">Document Owner</w:t>
            </w:r>
          </w:p>
        </w:tc>
        <w:tc>
          <w:tcPr>
            <w:tcW w:type="dxa" w:w="23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HSE Department</w:t>
            </w:r>
          </w:p>
        </w:tc>
        <w:tc>
          <w:tcPr>
            <w:tcW w:type="dxa" w:w="2340"/>
            <w:tcBorders>
              <w:top w:val="single" w:color="BFB3AA" w:sz="4"/>
              <w:left w:val="single" w:color="BFB3AA" w:sz="4"/>
              <w:bottom w:val="single" w:color="BFB3AA" w:sz="4"/>
              <w:right w:val="single" w:color="BFB3AA" w:sz="4"/>
            </w:tcBorders>
            <w:shd w:fill="EFE7E1" w:color="auto" w:val="clear"/>
            <w:tcMar>
              <w:top w:type="dxa" w:w="60"/>
              <w:left w:type="dxa" w:w="120"/>
              <w:bottom w:type="dxa" w:w="60"/>
              <w:right w:type="dxa" w:w="120"/>
            </w:tcMar>
            <w:vAlign w:val="center"/>
          </w:tcPr>
          <w:p>
            <w:r>
              <w:rPr>
                <w:rFonts w:ascii="Tahoma" w:cs="Tahoma" w:eastAsia="Tahoma" w:hAnsi="Tahoma"/>
                <w:b/>
                <w:bCs/>
                <w:color w:val="542A12"/>
                <w:sz w:val="18"/>
                <w:szCs w:val="18"/>
              </w:rPr>
              <w:t xml:space="preserve">Page Format</w:t>
            </w:r>
          </w:p>
        </w:tc>
        <w:tc>
          <w:tcPr>
            <w:tcW w:type="dxa" w:w="23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US Letter</w:t>
            </w:r>
          </w:p>
        </w:tc>
      </w:tr>
    </w:tbl>
    <w:p>
      <w:pPr>
        <w:spacing w:after="80" w:before="360"/>
      </w:pPr>
      <w:r>
        <w:rPr>
          <w:rFonts w:ascii="Tahoma" w:cs="Tahoma" w:eastAsia="Tahoma" w:hAnsi="Tahoma"/>
          <w:b/>
          <w:bCs/>
          <w:color w:val="542A12"/>
          <w:sz w:val="22"/>
          <w:szCs w:val="22"/>
        </w:rPr>
        <w:t xml:space="preserve">Approval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BFB3AA" w:sz="4"/>
              <w:left w:val="single" w:color="BFB3AA" w:sz="4"/>
              <w:bottom w:val="single" w:color="BFB3AA" w:sz="4"/>
              <w:right w:val="single" w:color="BFB3AA" w:sz="4"/>
            </w:tcBorders>
            <w:shd w:fill="EFE7E1" w:color="auto" w:val="clear"/>
            <w:tcMar>
              <w:top w:type="dxa" w:w="60"/>
              <w:left w:type="dxa" w:w="120"/>
              <w:bottom w:type="dxa" w:w="60"/>
              <w:right w:type="dxa" w:w="120"/>
            </w:tcMar>
            <w:vAlign w:val="center"/>
          </w:tcPr>
          <w:p>
            <w:r>
              <w:rPr>
                <w:rFonts w:ascii="Tahoma" w:cs="Tahoma" w:eastAsia="Tahoma" w:hAnsi="Tahoma"/>
                <w:b/>
                <w:bCs/>
                <w:color w:val="542A12"/>
                <w:sz w:val="18"/>
                <w:szCs w:val="18"/>
              </w:rPr>
              <w:t xml:space="preserve">Prepared By</w:t>
            </w:r>
          </w:p>
        </w:tc>
        <w:tc>
          <w:tcPr>
            <w:tcW w:type="dxa" w:w="3120"/>
            <w:tcBorders>
              <w:top w:val="single" w:color="BFB3AA" w:sz="4"/>
              <w:left w:val="single" w:color="BFB3AA" w:sz="4"/>
              <w:bottom w:val="single" w:color="BFB3AA" w:sz="4"/>
              <w:right w:val="single" w:color="BFB3AA" w:sz="4"/>
            </w:tcBorders>
            <w:shd w:fill="EFE7E1" w:color="auto" w:val="clear"/>
            <w:tcMar>
              <w:top w:type="dxa" w:w="60"/>
              <w:left w:type="dxa" w:w="120"/>
              <w:bottom w:type="dxa" w:w="60"/>
              <w:right w:type="dxa" w:w="120"/>
            </w:tcMar>
            <w:vAlign w:val="center"/>
          </w:tcPr>
          <w:p>
            <w:r>
              <w:rPr>
                <w:rFonts w:ascii="Tahoma" w:cs="Tahoma" w:eastAsia="Tahoma" w:hAnsi="Tahoma"/>
                <w:b/>
                <w:bCs/>
                <w:color w:val="542A12"/>
                <w:sz w:val="18"/>
                <w:szCs w:val="18"/>
              </w:rPr>
              <w:t xml:space="preserve">Reviewed By</w:t>
            </w:r>
          </w:p>
        </w:tc>
        <w:tc>
          <w:tcPr>
            <w:tcW w:type="dxa" w:w="3120"/>
            <w:tcBorders>
              <w:top w:val="single" w:color="BFB3AA" w:sz="4"/>
              <w:left w:val="single" w:color="BFB3AA" w:sz="4"/>
              <w:bottom w:val="single" w:color="BFB3AA" w:sz="4"/>
              <w:right w:val="single" w:color="BFB3AA" w:sz="4"/>
            </w:tcBorders>
            <w:shd w:fill="EFE7E1" w:color="auto" w:val="clear"/>
            <w:tcMar>
              <w:top w:type="dxa" w:w="60"/>
              <w:left w:type="dxa" w:w="120"/>
              <w:bottom w:type="dxa" w:w="60"/>
              <w:right w:type="dxa" w:w="120"/>
            </w:tcMar>
            <w:vAlign w:val="center"/>
          </w:tcPr>
          <w:p>
            <w:r>
              <w:rPr>
                <w:rFonts w:ascii="Tahoma" w:cs="Tahoma" w:eastAsia="Tahoma" w:hAnsi="Tahoma"/>
                <w:b/>
                <w:bCs/>
                <w:color w:val="542A12"/>
                <w:sz w:val="18"/>
                <w:szCs w:val="18"/>
              </w:rPr>
              <w:t xml:space="preserve">Approved By</w:t>
            </w:r>
          </w:p>
        </w:tc>
      </w:tr>
      <w:tr>
        <w:tc>
          <w:tcPr>
            <w:tcW w:type="dxa" w:w="3120"/>
            <w:tcBorders>
              <w:top w:val="single" w:color="BFB3AA" w:sz="4"/>
              <w:left w:val="single" w:color="BFB3AA" w:sz="4"/>
              <w:bottom w:val="single" w:color="BFB3AA" w:sz="4"/>
              <w:right w:val="single" w:color="BFB3AA" w:sz="4"/>
            </w:tcBorders>
            <w:tcMar>
              <w:top w:type="dxa" w:w="200"/>
              <w:left w:type="dxa" w:w="120"/>
              <w:bottom w:type="dxa" w:w="200"/>
              <w:right w:type="dxa" w:w="120"/>
            </w:tcMar>
          </w:tcPr>
          <w:p>
            <w:pPr>
              <w:spacing w:after="240"/>
            </w:pPr>
            <w:r>
              <w:rPr>
                <w:rFonts w:ascii="Tahoma" w:cs="Tahoma" w:eastAsia="Tahoma" w:hAnsi="Tahoma"/>
                <w:color w:val="595959"/>
                <w:sz w:val="16"/>
                <w:szCs w:val="16"/>
              </w:rPr>
              <w:t xml:space="preserve">HSE Representative</w:t>
            </w:r>
          </w:p>
          <w:p>
            <w:r>
              <w:rPr>
                <w:rFonts w:ascii="Tahoma" w:cs="Tahoma" w:eastAsia="Tahoma" w:hAnsi="Tahoma"/>
                <w:color w:val="A0A0A0"/>
                <w:sz w:val="14"/>
                <w:szCs w:val="14"/>
              </w:rPr>
              <w:t xml:space="preserve">Signature / Date</w:t>
            </w:r>
          </w:p>
        </w:tc>
        <w:tc>
          <w:tcPr>
            <w:tcW w:type="dxa" w:w="3120"/>
            <w:tcBorders>
              <w:top w:val="single" w:color="BFB3AA" w:sz="4"/>
              <w:left w:val="single" w:color="BFB3AA" w:sz="4"/>
              <w:bottom w:val="single" w:color="BFB3AA" w:sz="4"/>
              <w:right w:val="single" w:color="BFB3AA" w:sz="4"/>
            </w:tcBorders>
            <w:tcMar>
              <w:top w:type="dxa" w:w="200"/>
              <w:left w:type="dxa" w:w="120"/>
              <w:bottom w:type="dxa" w:w="200"/>
              <w:right w:type="dxa" w:w="120"/>
            </w:tcMar>
          </w:tcPr>
          <w:p>
            <w:pPr>
              <w:spacing w:after="240"/>
            </w:pPr>
            <w:r>
              <w:rPr>
                <w:rFonts w:ascii="Tahoma" w:cs="Tahoma" w:eastAsia="Tahoma" w:hAnsi="Tahoma"/>
                <w:color w:val="595959"/>
                <w:sz w:val="16"/>
                <w:szCs w:val="16"/>
              </w:rPr>
              <w:t xml:space="preserve">Competent Person (HSE)</w:t>
            </w:r>
          </w:p>
          <w:p>
            <w:r>
              <w:rPr>
                <w:rFonts w:ascii="Tahoma" w:cs="Tahoma" w:eastAsia="Tahoma" w:hAnsi="Tahoma"/>
                <w:color w:val="A0A0A0"/>
                <w:sz w:val="14"/>
                <w:szCs w:val="14"/>
              </w:rPr>
              <w:t xml:space="preserve">Signature / Date</w:t>
            </w:r>
          </w:p>
        </w:tc>
        <w:tc>
          <w:tcPr>
            <w:tcW w:type="dxa" w:w="3120"/>
            <w:tcBorders>
              <w:top w:val="single" w:color="BFB3AA" w:sz="4"/>
              <w:left w:val="single" w:color="BFB3AA" w:sz="4"/>
              <w:bottom w:val="single" w:color="BFB3AA" w:sz="4"/>
              <w:right w:val="single" w:color="BFB3AA" w:sz="4"/>
            </w:tcBorders>
            <w:tcMar>
              <w:top w:type="dxa" w:w="200"/>
              <w:left w:type="dxa" w:w="120"/>
              <w:bottom w:type="dxa" w:w="200"/>
              <w:right w:type="dxa" w:w="120"/>
            </w:tcMar>
          </w:tcPr>
          <w:p>
            <w:pPr>
              <w:spacing w:after="240"/>
            </w:pPr>
            <w:r>
              <w:rPr>
                <w:rFonts w:ascii="Tahoma" w:cs="Tahoma" w:eastAsia="Tahoma" w:hAnsi="Tahoma"/>
                <w:color w:val="595959"/>
                <w:sz w:val="16"/>
                <w:szCs w:val="16"/>
              </w:rPr>
              <w:t xml:space="preserve">Project Director / Manager</w:t>
            </w:r>
          </w:p>
          <w:p>
            <w:r>
              <w:rPr>
                <w:rFonts w:ascii="Tahoma" w:cs="Tahoma" w:eastAsia="Tahoma" w:hAnsi="Tahoma"/>
                <w:color w:val="A0A0A0"/>
                <w:sz w:val="14"/>
                <w:szCs w:val="14"/>
              </w:rPr>
              <w:t xml:space="preserve">Signature / Date</w:t>
            </w:r>
          </w:p>
        </w:tc>
      </w:tr>
    </w:tbl>
    <w:p>
      <w:r>
        <w:br w:type="page"/>
      </w:r>
    </w:p>
    <w:p>
      <w:pPr>
        <w:sectPr>
          <w:pgSz w:w="12240" w:h="15840" w:orient="portrait"/>
          <w:pgMar w:top="1440" w:right="1440" w:bottom="1440" w:left="1440" w:header="708" w:footer="708" w:gutter="0"/>
          <w:pgNumType/>
          <w:docGrid w:linePitch="360"/>
        </w:sectPr>
      </w:pPr>
    </w:p>
    <w:p>
      <w:pPr>
        <w:spacing w:after="160"/>
      </w:pPr>
      <w:r>
        <w:rPr>
          <w:rFonts w:ascii="Tahoma" w:cs="Tahoma" w:eastAsia="Tahoma" w:hAnsi="Tahoma"/>
          <w:b/>
          <w:bCs/>
          <w:color w:val="542A12"/>
          <w:sz w:val="28"/>
          <w:szCs w:val="28"/>
        </w:rPr>
        <w:t xml:space="preserve">Table of Contents</w:t>
      </w:r>
    </w:p>
    <w:sdt>
      <w:sdtPr>
        <w:alias w:val="Table of Contents"/>
      </w:sdtPr>
      <w:sdtContent>
        <w:p>
          <w:r>
            <w:fldChar w:fldCharType="begin" w:dirty="true"/>
            <w:instrText xml:space="preserve">TOC \h \o "1-2"</w:instrText>
            <w:fldChar w:fldCharType="separate"/>
          </w:r>
        </w:p>
        <w:p>
          <w:r>
            <w:fldChar w:fldCharType="end"/>
          </w:r>
        </w:p>
      </w:sdtContent>
    </w:sdt>
    <w:p>
      <w:r>
        <w:br w:type="page"/>
      </w:r>
    </w:p>
    <w:p>
      <w:pPr>
        <w:pStyle w:val="Heading1"/>
      </w:pPr>
      <w:r>
        <w:t xml:space="preserve">1. Purpose</w:t>
      </w:r>
    </w:p>
    <w:p>
      <w:pPr>
        <w:spacing w:after="120" w:line="276"/>
        <w:jc w:val="both"/>
      </w:pPr>
      <w:r>
        <w:rPr>
          <w:rFonts w:ascii="Tahoma" w:cs="Tahoma" w:eastAsia="Tahoma" w:hAnsi="Tahoma"/>
          <w:sz w:val="20"/>
          <w:szCs w:val="20"/>
        </w:rPr>
        <w:t xml:space="preserve">This document details DAN requirements for safely isolating energy sources, equipment and systems to protect personnel from the unexpected release of hazardous energy or materials during maintenance, inspection and construction activities.</w:t>
      </w:r>
    </w:p>
    <w:p>
      <w:pPr>
        <w:pStyle w:val="Heading1"/>
      </w:pPr>
      <w:r>
        <w:t xml:space="preserve">2. Scope</w:t>
      </w:r>
    </w:p>
    <w:p>
      <w:pPr>
        <w:spacing w:after="120" w:line="276"/>
        <w:jc w:val="both"/>
      </w:pPr>
      <w:r>
        <w:rPr>
          <w:rFonts w:ascii="Tahoma" w:cs="Tahoma" w:eastAsia="Tahoma" w:hAnsi="Tahoma"/>
          <w:sz w:val="20"/>
          <w:szCs w:val="20"/>
        </w:rPr>
        <w:t xml:space="preserve">This document applies to all servicing and maintenance on DAN projects where the unexpected energisation, start-up or release of stored energy — electrical, hydraulic, pneumatic, steam, high-pressure water, chemical or mechanical — could cause injury.</w:t>
      </w:r>
    </w:p>
    <w:p>
      <w:pPr>
        <w:pStyle w:val="Heading1"/>
      </w:pPr>
      <w:r>
        <w:t xml:space="preserve">3. References</w:t>
      </w:r>
    </w:p>
    <w:p>
      <w:pPr>
        <w:pStyle w:val="ListParagraph"/>
        <w:numPr>
          <w:ilvl w:val="0"/>
          <w:numId w:val="2"/>
        </w:numPr>
        <w:spacing w:after="60" w:line="268"/>
        <w:jc w:val="both"/>
      </w:pPr>
      <w:r>
        <w:rPr>
          <w:rFonts w:ascii="Tahoma" w:cs="Tahoma" w:eastAsia="Tahoma" w:hAnsi="Tahoma"/>
          <w:sz w:val="20"/>
          <w:szCs w:val="20"/>
        </w:rPr>
        <w:t xml:space="preserve">29 CFR 1910.147 — The Control of Hazardous Energy (Lockout/Tagout)</w:t>
      </w:r>
    </w:p>
    <w:p>
      <w:pPr>
        <w:pStyle w:val="ListParagraph"/>
        <w:numPr>
          <w:ilvl w:val="0"/>
          <w:numId w:val="2"/>
        </w:numPr>
        <w:spacing w:after="60" w:line="268"/>
        <w:jc w:val="both"/>
      </w:pPr>
      <w:r>
        <w:rPr>
          <w:rFonts w:ascii="Tahoma" w:cs="Tahoma" w:eastAsia="Tahoma" w:hAnsi="Tahoma"/>
          <w:sz w:val="20"/>
          <w:szCs w:val="20"/>
        </w:rPr>
        <w:t xml:space="preserve">29 CFR 1926.417 — Lockout and Tagging of Circuits; 29 CFR 1926.702</w:t>
      </w:r>
    </w:p>
    <w:p>
      <w:pPr>
        <w:pStyle w:val="ListParagraph"/>
        <w:numPr>
          <w:ilvl w:val="0"/>
          <w:numId w:val="2"/>
        </w:numPr>
        <w:spacing w:after="60" w:line="268"/>
        <w:jc w:val="both"/>
      </w:pPr>
      <w:r>
        <w:rPr>
          <w:rFonts w:ascii="Tahoma" w:cs="Tahoma" w:eastAsia="Tahoma" w:hAnsi="Tahoma"/>
          <w:sz w:val="20"/>
          <w:szCs w:val="20"/>
        </w:rPr>
        <w:t xml:space="preserve">EM 385-1-1, Section 12.A — Control of Hazardous Energy</w:t>
      </w:r>
    </w:p>
    <w:p>
      <w:pPr>
        <w:pStyle w:val="ListParagraph"/>
        <w:numPr>
          <w:ilvl w:val="0"/>
          <w:numId w:val="2"/>
        </w:numPr>
        <w:spacing w:after="60" w:line="268"/>
        <w:jc w:val="both"/>
      </w:pPr>
      <w:r>
        <w:rPr>
          <w:rFonts w:ascii="Tahoma" w:cs="Tahoma" w:eastAsia="Tahoma" w:hAnsi="Tahoma"/>
          <w:sz w:val="20"/>
          <w:szCs w:val="20"/>
        </w:rPr>
        <w:t xml:space="preserve">DCSM — Electrical Safety; DCSM — Confined Spaces; DCSM — Motor Vehicles and Equipment</w:t>
      </w:r>
    </w:p>
    <w:p>
      <w:pPr>
        <w:pStyle w:val="Heading1"/>
      </w:pPr>
      <w:r>
        <w:t xml:space="preserve">4. Definitions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7460"/>
      </w:tblGrid>
      <w:tr>
        <w:trPr>
          <w:tblHeader/>
        </w:trPr>
        <w:tc>
          <w:tcPr>
            <w:tcW w:type="dxa" w:w="1900"/>
            <w:tcBorders>
              <w:top w:val="single" w:color="BFB3AA" w:sz="4"/>
              <w:left w:val="single" w:color="BFB3AA" w:sz="4"/>
              <w:bottom w:val="single" w:color="BFB3AA" w:sz="4"/>
              <w:right w:val="single" w:color="BFB3AA" w:sz="4"/>
            </w:tcBorders>
            <w:shd w:fill="542A12" w:color="auto" w:val="clear"/>
            <w:tcMar>
              <w:top w:type="dxa" w:w="60"/>
              <w:left w:type="dxa" w:w="120"/>
              <w:bottom w:type="dxa" w:w="60"/>
              <w:right w:type="dxa" w:w="120"/>
            </w:tcMar>
            <w:vAlign w:val="center"/>
          </w:tcPr>
          <w:p>
            <w:r>
              <w:rPr>
                <w:rFonts w:ascii="Tahoma" w:cs="Tahoma" w:eastAsia="Tahoma" w:hAnsi="Tahoma"/>
                <w:b/>
                <w:bCs/>
                <w:color w:val="FFFFFF"/>
                <w:sz w:val="18"/>
                <w:szCs w:val="18"/>
              </w:rPr>
              <w:t xml:space="preserve">Term</w:t>
            </w:r>
          </w:p>
        </w:tc>
        <w:tc>
          <w:tcPr>
            <w:tcW w:type="dxa" w:w="7460"/>
            <w:tcBorders>
              <w:top w:val="single" w:color="BFB3AA" w:sz="4"/>
              <w:left w:val="single" w:color="BFB3AA" w:sz="4"/>
              <w:bottom w:val="single" w:color="BFB3AA" w:sz="4"/>
              <w:right w:val="single" w:color="BFB3AA" w:sz="4"/>
            </w:tcBorders>
            <w:shd w:fill="542A12" w:color="auto" w:val="clear"/>
            <w:tcMar>
              <w:top w:type="dxa" w:w="60"/>
              <w:left w:type="dxa" w:w="120"/>
              <w:bottom w:type="dxa" w:w="60"/>
              <w:right w:type="dxa" w:w="120"/>
            </w:tcMar>
            <w:vAlign w:val="center"/>
          </w:tcPr>
          <w:p>
            <w:r>
              <w:rPr>
                <w:rFonts w:ascii="Tahoma" w:cs="Tahoma" w:eastAsia="Tahoma" w:hAnsi="Tahoma"/>
                <w:b/>
                <w:bCs/>
                <w:color w:val="FFFFFF"/>
                <w:sz w:val="18"/>
                <w:szCs w:val="18"/>
              </w:rPr>
              <w:t xml:space="preserve">Definition</w:t>
            </w:r>
          </w:p>
        </w:tc>
      </w:tr>
      <w:tr>
        <w:tc>
          <w:tcPr>
            <w:tcW w:type="dxa" w:w="19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b/>
                <w:bCs/>
                <w:color w:val="542A12"/>
                <w:sz w:val="18"/>
                <w:szCs w:val="18"/>
              </w:rPr>
              <w:t xml:space="preserve">Authorized Person</w:t>
            </w:r>
          </w:p>
        </w:tc>
        <w:tc>
          <w:tcPr>
            <w:tcW w:type="dxa" w:w="74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A person who locks out or tags out machines or equipment in order to perform servicing or maintenance.</w:t>
            </w:r>
          </w:p>
        </w:tc>
      </w:tr>
      <w:tr>
        <w:tc>
          <w:tcPr>
            <w:tcW w:type="dxa" w:w="19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b/>
                <w:bCs/>
                <w:color w:val="542A12"/>
                <w:sz w:val="18"/>
                <w:szCs w:val="18"/>
              </w:rPr>
              <w:t xml:space="preserve">Affected Person</w:t>
            </w:r>
          </w:p>
        </w:tc>
        <w:tc>
          <w:tcPr>
            <w:tcW w:type="dxa" w:w="74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A person whose job requires operating the equipment being serviced, or working in the area where servicing is performed.</w:t>
            </w:r>
          </w:p>
        </w:tc>
      </w:tr>
      <w:tr>
        <w:tc>
          <w:tcPr>
            <w:tcW w:type="dxa" w:w="19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b/>
                <w:bCs/>
                <w:color w:val="542A12"/>
                <w:sz w:val="18"/>
                <w:szCs w:val="18"/>
              </w:rPr>
              <w:t xml:space="preserve">Energy-Isolating Device</w:t>
            </w:r>
          </w:p>
        </w:tc>
        <w:tc>
          <w:tcPr>
            <w:tcW w:type="dxa" w:w="74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A mechanical device that physically prevents the transmission or release of energy (e.g. disconnect, breaker, valve, blank flange).</w:t>
            </w:r>
          </w:p>
        </w:tc>
      </w:tr>
      <w:tr>
        <w:tc>
          <w:tcPr>
            <w:tcW w:type="dxa" w:w="19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b/>
                <w:bCs/>
                <w:color w:val="542A12"/>
                <w:sz w:val="18"/>
                <w:szCs w:val="18"/>
              </w:rPr>
              <w:t xml:space="preserve">Group LOTO</w:t>
            </w:r>
          </w:p>
        </w:tc>
        <w:tc>
          <w:tcPr>
            <w:tcW w:type="dxa" w:w="74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A procedure protecting a group of personnel under the primary responsibility of a designated authorised person, typically using a group lockbox.</w:t>
            </w:r>
          </w:p>
        </w:tc>
      </w:tr>
      <w:tr>
        <w:tc>
          <w:tcPr>
            <w:tcW w:type="dxa" w:w="19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b/>
                <w:bCs/>
                <w:color w:val="542A12"/>
                <w:sz w:val="18"/>
                <w:szCs w:val="18"/>
              </w:rPr>
              <w:t xml:space="preserve">Stored Energy</w:t>
            </w:r>
          </w:p>
        </w:tc>
        <w:tc>
          <w:tcPr>
            <w:tcW w:type="dxa" w:w="74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Residual or accumulated energy (e.g. capacitors, springs, elevated members, flywheels, hydraulic/pneumatic/steam/water pressure).</w:t>
            </w:r>
          </w:p>
        </w:tc>
      </w:tr>
    </w:tbl>
    <w:p>
      <w:pPr>
        <w:pStyle w:val="Heading1"/>
      </w:pPr>
      <w:r>
        <w:t xml:space="preserve">5. Deliverables</w:t>
      </w:r>
    </w:p>
    <w:p>
      <w:pPr>
        <w:pStyle w:val="ListParagraph"/>
        <w:numPr>
          <w:ilvl w:val="0"/>
          <w:numId w:val="2"/>
        </w:numPr>
        <w:spacing w:after="60" w:line="268"/>
        <w:jc w:val="both"/>
      </w:pPr>
      <w:r>
        <w:rPr>
          <w:rFonts w:ascii="Tahoma" w:cs="Tahoma" w:eastAsia="Tahoma" w:hAnsi="Tahoma"/>
          <w:sz w:val="20"/>
          <w:szCs w:val="20"/>
        </w:rPr>
        <w:t xml:space="preserve">Project LOTO Plan</w:t>
      </w:r>
    </w:p>
    <w:p>
      <w:pPr>
        <w:pStyle w:val="ListParagraph"/>
        <w:numPr>
          <w:ilvl w:val="0"/>
          <w:numId w:val="2"/>
        </w:numPr>
        <w:spacing w:after="60" w:line="268"/>
        <w:jc w:val="both"/>
      </w:pPr>
      <w:r>
        <w:rPr>
          <w:rFonts w:ascii="Tahoma" w:cs="Tahoma" w:eastAsia="Tahoma" w:hAnsi="Tahoma"/>
          <w:sz w:val="20"/>
          <w:szCs w:val="20"/>
        </w:rPr>
        <w:t xml:space="preserve">LOTO Register / Log</w:t>
      </w:r>
    </w:p>
    <w:p>
      <w:pPr>
        <w:pStyle w:val="ListParagraph"/>
        <w:numPr>
          <w:ilvl w:val="0"/>
          <w:numId w:val="2"/>
        </w:numPr>
        <w:spacing w:after="60" w:line="268"/>
        <w:jc w:val="both"/>
      </w:pPr>
      <w:r>
        <w:rPr>
          <w:rFonts w:ascii="Tahoma" w:cs="Tahoma" w:eastAsia="Tahoma" w:hAnsi="Tahoma"/>
          <w:sz w:val="20"/>
          <w:szCs w:val="20"/>
        </w:rPr>
        <w:t xml:space="preserve">LOTO Permit / Request</w:t>
      </w:r>
    </w:p>
    <w:p>
      <w:pPr>
        <w:pStyle w:val="Heading1"/>
      </w:pPr>
      <w:r>
        <w:t xml:space="preserve">6. General Requirements</w:t>
      </w:r>
    </w:p>
    <w:p>
      <w:pPr>
        <w:pStyle w:val="ListParagraph"/>
        <w:numPr>
          <w:ilvl w:val="0"/>
          <w:numId w:val="2"/>
        </w:numPr>
        <w:spacing w:after="60" w:line="268"/>
        <w:jc w:val="both"/>
      </w:pPr>
      <w:r>
        <w:rPr>
          <w:rFonts w:ascii="Tahoma" w:cs="Tahoma" w:eastAsia="Tahoma" w:hAnsi="Tahoma"/>
          <w:sz w:val="20"/>
          <w:szCs w:val="20"/>
        </w:rPr>
        <w:t xml:space="preserve">LOTO shall be used whenever personnel service or maintain any machine or system that, if suddenly energised or set in motion, could cause injury, death or equipment damage.</w:t>
      </w:r>
    </w:p>
    <w:p>
      <w:pPr>
        <w:pStyle w:val="ListParagraph"/>
        <w:numPr>
          <w:ilvl w:val="0"/>
          <w:numId w:val="2"/>
        </w:numPr>
        <w:spacing w:after="60" w:line="268"/>
        <w:jc w:val="both"/>
      </w:pPr>
      <w:r>
        <w:rPr>
          <w:rFonts w:ascii="Tahoma" w:cs="Tahoma" w:eastAsia="Tahoma" w:hAnsi="Tahoma"/>
          <w:sz w:val="20"/>
          <w:szCs w:val="20"/>
        </w:rPr>
        <w:t xml:space="preserve">DAN requires the combined use of both a lock and a tag on all equipment; the single use of a tag without a lock, or a lock without a tag, is not permitted.</w:t>
      </w:r>
    </w:p>
    <w:p>
      <w:pPr>
        <w:pStyle w:val="ListParagraph"/>
        <w:numPr>
          <w:ilvl w:val="0"/>
          <w:numId w:val="2"/>
        </w:numPr>
        <w:spacing w:after="60" w:line="268"/>
        <w:jc w:val="both"/>
      </w:pPr>
      <w:r>
        <w:rPr>
          <w:rFonts w:ascii="Tahoma" w:cs="Tahoma" w:eastAsia="Tahoma" w:hAnsi="Tahoma"/>
          <w:sz w:val="20"/>
          <w:szCs w:val="20"/>
        </w:rPr>
        <w:t xml:space="preserve">Locks and tags do not de-energise equipment — they shall be attached only after the machine has been isolated from its energy sources.</w:t>
      </w:r>
    </w:p>
    <w:p>
      <w:pPr>
        <w:pStyle w:val="ListParagraph"/>
        <w:numPr>
          <w:ilvl w:val="0"/>
          <w:numId w:val="2"/>
        </w:numPr>
        <w:spacing w:after="60" w:line="268"/>
        <w:jc w:val="both"/>
      </w:pPr>
      <w:r>
        <w:rPr>
          <w:rFonts w:ascii="Tahoma" w:cs="Tahoma" w:eastAsia="Tahoma" w:hAnsi="Tahoma"/>
          <w:sz w:val="20"/>
          <w:szCs w:val="20"/>
        </w:rPr>
        <w:t xml:space="preserve">Energy isolation and LOTO shall be applied only by authorised personnel trained to perform service or maintenance; no device shall be operated while a tag and lock are attached, regardless of circumstances.</w:t>
      </w:r>
    </w:p>
    <w:p>
      <w:pPr>
        <w:pStyle w:val="ListParagraph"/>
        <w:numPr>
          <w:ilvl w:val="0"/>
          <w:numId w:val="2"/>
        </w:numPr>
        <w:spacing w:after="60" w:line="268"/>
        <w:jc w:val="both"/>
      </w:pPr>
      <w:r>
        <w:rPr>
          <w:rFonts w:ascii="Tahoma" w:cs="Tahoma" w:eastAsia="Tahoma" w:hAnsi="Tahoma"/>
          <w:sz w:val="20"/>
          <w:szCs w:val="20"/>
        </w:rPr>
        <w:t xml:space="preserve">No person shall remove a lock or tag without following the proper procedure; only individually keyed, individually identified locks shall be used; group lockout devices shall be used where multiple contractors or craftsmen are involved.</w:t>
      </w:r>
    </w:p>
    <w:p>
      <w:pPr>
        <w:pStyle w:val="Heading1"/>
      </w:pPr>
      <w:r>
        <w:t xml:space="preserve">7. Project LOTO Plan</w:t>
      </w:r>
    </w:p>
    <w:p>
      <w:pPr>
        <w:spacing w:after="120" w:line="276"/>
        <w:jc w:val="both"/>
      </w:pPr>
      <w:r>
        <w:rPr>
          <w:rFonts w:ascii="Tahoma" w:cs="Tahoma" w:eastAsia="Tahoma" w:hAnsi="Tahoma"/>
          <w:sz w:val="20"/>
          <w:szCs w:val="20"/>
        </w:rPr>
        <w:t xml:space="preserve">The Project Manager leads development and implementation of a project-specific LOTO Plan, approves it, and designates an Authorized Person to maintain the LOTO Log and conduct weekly inspections; the SH&amp;E Representative monitors compliance. As a minimum the plan includes:</w:t>
      </w:r>
    </w:p>
    <w:p>
      <w:pPr>
        <w:pStyle w:val="ListParagraph"/>
        <w:numPr>
          <w:ilvl w:val="0"/>
          <w:numId w:val="3"/>
        </w:numPr>
        <w:spacing w:after="40" w:line="264"/>
      </w:pPr>
      <w:r>
        <w:rPr>
          <w:rFonts w:ascii="Tahoma" w:cs="Tahoma" w:eastAsia="Tahoma" w:hAnsi="Tahoma"/>
          <w:sz w:val="18"/>
          <w:szCs w:val="18"/>
        </w:rPr>
        <w:t xml:space="preserve">The person responsible for maintaining the program and communicating requirements;</w:t>
      </w:r>
    </w:p>
    <w:p>
      <w:pPr>
        <w:pStyle w:val="ListParagraph"/>
        <w:numPr>
          <w:ilvl w:val="0"/>
          <w:numId w:val="3"/>
        </w:numPr>
        <w:spacing w:after="40" w:line="264"/>
      </w:pPr>
      <w:r>
        <w:rPr>
          <w:rFonts w:ascii="Tahoma" w:cs="Tahoma" w:eastAsia="Tahoma" w:hAnsi="Tahoma"/>
          <w:sz w:val="18"/>
          <w:szCs w:val="18"/>
        </w:rPr>
        <w:t xml:space="preserve">Personnel assigned to maintain the LOTO Log and conduct weekly inspections;</w:t>
      </w:r>
    </w:p>
    <w:p>
      <w:pPr>
        <w:pStyle w:val="ListParagraph"/>
        <w:numPr>
          <w:ilvl w:val="0"/>
          <w:numId w:val="3"/>
        </w:numPr>
        <w:spacing w:after="40" w:line="264"/>
      </w:pPr>
      <w:r>
        <w:rPr>
          <w:rFonts w:ascii="Tahoma" w:cs="Tahoma" w:eastAsia="Tahoma" w:hAnsi="Tahoma"/>
          <w:sz w:val="18"/>
          <w:szCs w:val="18"/>
        </w:rPr>
        <w:t xml:space="preserve">LOTO requests and the LOTO Log;</w:t>
      </w:r>
    </w:p>
    <w:p>
      <w:pPr>
        <w:pStyle w:val="ListParagraph"/>
        <w:numPr>
          <w:ilvl w:val="0"/>
          <w:numId w:val="3"/>
        </w:numPr>
        <w:spacing w:after="40" w:line="264"/>
      </w:pPr>
      <w:r>
        <w:rPr>
          <w:rFonts w:ascii="Tahoma" w:cs="Tahoma" w:eastAsia="Tahoma" w:hAnsi="Tahoma"/>
          <w:sz w:val="18"/>
          <w:szCs w:val="18"/>
        </w:rPr>
        <w:t xml:space="preserve">Location and access control for lockout locks (generally a locked lockbox in the site office; keys remain in the locks until issue, then stay with the person placing the lock);</w:t>
      </w:r>
    </w:p>
    <w:p>
      <w:pPr>
        <w:pStyle w:val="ListParagraph"/>
        <w:numPr>
          <w:ilvl w:val="0"/>
          <w:numId w:val="3"/>
        </w:numPr>
        <w:spacing w:after="40" w:line="264"/>
      </w:pPr>
      <w:r>
        <w:rPr>
          <w:rFonts w:ascii="Tahoma" w:cs="Tahoma" w:eastAsia="Tahoma" w:hAnsi="Tahoma"/>
          <w:sz w:val="18"/>
          <w:szCs w:val="18"/>
        </w:rPr>
        <w:t xml:space="preserve">Methods for identifying individual locks, training authorised/affected personnel, group LOTO, and equipment-specific procedures where available.</w:t>
      </w:r>
    </w:p>
    <w:p>
      <w:pPr>
        <w:pStyle w:val="Heading1"/>
      </w:pPr>
      <w:r>
        <w:t xml:space="preserve">8. LOTO Materials</w:t>
      </w:r>
    </w:p>
    <w:p>
      <w:pPr>
        <w:pStyle w:val="ListParagraph"/>
        <w:numPr>
          <w:ilvl w:val="0"/>
          <w:numId w:val="2"/>
        </w:numPr>
        <w:spacing w:after="60" w:line="268"/>
        <w:jc w:val="both"/>
      </w:pPr>
      <w:r>
        <w:rPr>
          <w:rFonts w:ascii="Tahoma" w:cs="Tahoma" w:eastAsia="Tahoma" w:hAnsi="Tahoma"/>
          <w:sz w:val="20"/>
          <w:szCs w:val="20"/>
        </w:rPr>
        <w:t xml:space="preserve">The Contractor shall provide locks, tags, chains, wedges, key blocks, adapter pins, self-locking fasteners or other hardware for isolating, securing or blocking equipment; locks and tags shall not be used for any other purpose.</w:t>
      </w:r>
    </w:p>
    <w:p>
      <w:pPr>
        <w:pStyle w:val="ListParagraph"/>
        <w:numPr>
          <w:ilvl w:val="0"/>
          <w:numId w:val="2"/>
        </w:numPr>
        <w:spacing w:after="60" w:line="268"/>
        <w:jc w:val="both"/>
      </w:pPr>
      <w:r>
        <w:rPr>
          <w:rFonts w:ascii="Tahoma" w:cs="Tahoma" w:eastAsia="Tahoma" w:hAnsi="Tahoma"/>
          <w:sz w:val="20"/>
          <w:szCs w:val="20"/>
        </w:rPr>
        <w:t xml:space="preserve">Locks shall withstand the environment, be standardised (colour, shape or size), and be substantial enough to prevent removal without excessive force or unusual techniques.</w:t>
      </w:r>
    </w:p>
    <w:p>
      <w:pPr>
        <w:pStyle w:val="ListParagraph"/>
        <w:numPr>
          <w:ilvl w:val="0"/>
          <w:numId w:val="2"/>
        </w:numPr>
        <w:spacing w:after="60" w:line="268"/>
        <w:jc w:val="both"/>
      </w:pPr>
      <w:r>
        <w:rPr>
          <w:rFonts w:ascii="Tahoma" w:cs="Tahoma" w:eastAsia="Tahoma" w:hAnsi="Tahoma"/>
          <w:sz w:val="20"/>
          <w:szCs w:val="20"/>
        </w:rPr>
        <w:t xml:space="preserve">Tags shall be standardised in print/format and at least one of colour, shape or size; legible in weather/wet and corrosive environments; attached securely (tie-wrap or equivalent able to withstand 50 lb / 22.7 kg); and indicate the date, the identity of the person/group applying them, a prohibition on operation/removal, and a warning legend such as "Do Not Start", "Do Not Open", "Do Not Close" or "Do Not Operate".</w:t>
      </w:r>
    </w:p>
    <w:p>
      <w:pPr>
        <w:pStyle w:val="Heading1"/>
      </w:pPr>
      <w:r>
        <w:t xml:space="preserve">9. LOTO Requests, Checklists and Logs</w:t>
      </w:r>
    </w:p>
    <w:p>
      <w:pPr>
        <w:pStyle w:val="ListParagraph"/>
        <w:numPr>
          <w:ilvl w:val="0"/>
          <w:numId w:val="2"/>
        </w:numPr>
        <w:spacing w:after="60" w:line="268"/>
        <w:jc w:val="both"/>
      </w:pPr>
      <w:r>
        <w:rPr>
          <w:rFonts w:ascii="Tahoma" w:cs="Tahoma" w:eastAsia="Tahoma" w:hAnsi="Tahoma"/>
          <w:sz w:val="20"/>
          <w:szCs w:val="20"/>
        </w:rPr>
        <w:t xml:space="preserve">A LOTO Request may be initiated by anyone requiring energy isolation; the requestor completes the form and submits it to the Supervisor.</w:t>
      </w:r>
    </w:p>
    <w:p>
      <w:pPr>
        <w:pStyle w:val="ListParagraph"/>
        <w:numPr>
          <w:ilvl w:val="0"/>
          <w:numId w:val="2"/>
        </w:numPr>
        <w:spacing w:after="60" w:line="268"/>
        <w:jc w:val="both"/>
      </w:pPr>
      <w:r>
        <w:rPr>
          <w:rFonts w:ascii="Tahoma" w:cs="Tahoma" w:eastAsia="Tahoma" w:hAnsi="Tahoma"/>
          <w:sz w:val="20"/>
          <w:szCs w:val="20"/>
        </w:rPr>
        <w:t xml:space="preserve">The Supervisor confirms or develops the specific procedural steps (shutting down, isolating, blocking, securing), details the LOTO points, ensures current drawings/descriptions are used, and authorises LOTO before it proceeds.</w:t>
      </w:r>
    </w:p>
    <w:p>
      <w:pPr>
        <w:pStyle w:val="ListParagraph"/>
        <w:numPr>
          <w:ilvl w:val="0"/>
          <w:numId w:val="2"/>
        </w:numPr>
        <w:spacing w:after="60" w:line="268"/>
        <w:jc w:val="both"/>
      </w:pPr>
      <w:r>
        <w:rPr>
          <w:rFonts w:ascii="Tahoma" w:cs="Tahoma" w:eastAsia="Tahoma" w:hAnsi="Tahoma"/>
          <w:sz w:val="20"/>
          <w:szCs w:val="20"/>
        </w:rPr>
        <w:t xml:space="preserve">The person designated by the Project Manager adds the request to the LOTO Log, ensures accurate and complete requests, and updates the log as necessary.</w:t>
      </w:r>
    </w:p>
    <w:p>
      <w:pPr>
        <w:pStyle w:val="Heading1"/>
      </w:pPr>
      <w:r>
        <w:t xml:space="preserve">10. LOTO Procedure</w:t>
      </w:r>
    </w:p>
    <w:p>
      <w:pPr>
        <w:keepNext/>
        <w:spacing w:after="80" w:before="160"/>
      </w:pPr>
      <w:r>
        <w:rPr>
          <w:rFonts w:ascii="Tahoma" w:cs="Tahoma" w:eastAsia="Tahoma" w:hAnsi="Tahoma"/>
          <w:b/>
          <w:bCs/>
          <w:color w:val="B5692B"/>
          <w:sz w:val="20"/>
          <w:szCs w:val="20"/>
        </w:rPr>
        <w:t xml:space="preserve">10.1  Prepare for Shutdown</w:t>
      </w:r>
    </w:p>
    <w:p>
      <w:pPr>
        <w:pStyle w:val="ListParagraph"/>
        <w:numPr>
          <w:ilvl w:val="0"/>
          <w:numId w:val="2"/>
        </w:numPr>
        <w:spacing w:after="60" w:line="268"/>
        <w:jc w:val="both"/>
      </w:pPr>
      <w:r>
        <w:rPr>
          <w:rFonts w:ascii="Tahoma" w:cs="Tahoma" w:eastAsia="Tahoma" w:hAnsi="Tahoma"/>
          <w:sz w:val="20"/>
          <w:szCs w:val="20"/>
        </w:rPr>
        <w:t xml:space="preserve">Confirm the equipment is safe to operate by removing tools and verifying the system is fully assembled; notify all affected personnel that the machine must be shut down and locked out.</w:t>
      </w:r>
    </w:p>
    <w:p>
      <w:pPr>
        <w:keepNext/>
        <w:spacing w:after="80" w:before="160"/>
      </w:pPr>
      <w:r>
        <w:rPr>
          <w:rFonts w:ascii="Tahoma" w:cs="Tahoma" w:eastAsia="Tahoma" w:hAnsi="Tahoma"/>
          <w:b/>
          <w:bCs/>
          <w:color w:val="B5692B"/>
          <w:sz w:val="20"/>
          <w:szCs w:val="20"/>
        </w:rPr>
        <w:t xml:space="preserve">10.2  Shut Down and Isolate</w:t>
      </w:r>
    </w:p>
    <w:p>
      <w:pPr>
        <w:pStyle w:val="ListParagraph"/>
        <w:numPr>
          <w:ilvl w:val="0"/>
          <w:numId w:val="2"/>
        </w:numPr>
        <w:spacing w:after="60" w:line="268"/>
        <w:jc w:val="both"/>
      </w:pPr>
      <w:r>
        <w:rPr>
          <w:rFonts w:ascii="Tahoma" w:cs="Tahoma" w:eastAsia="Tahoma" w:hAnsi="Tahoma"/>
          <w:sz w:val="20"/>
          <w:szCs w:val="20"/>
        </w:rPr>
        <w:t xml:space="preserve">Identify all energy sources and stored energy; shut down using the normal operating controls/shutdown procedure (stop button, open switch, close valve).</w:t>
      </w:r>
    </w:p>
    <w:p>
      <w:pPr>
        <w:pStyle w:val="ListParagraph"/>
        <w:numPr>
          <w:ilvl w:val="0"/>
          <w:numId w:val="2"/>
        </w:numPr>
        <w:spacing w:after="60" w:line="268"/>
        <w:jc w:val="both"/>
      </w:pPr>
      <w:r>
        <w:rPr>
          <w:rFonts w:ascii="Tahoma" w:cs="Tahoma" w:eastAsia="Tahoma" w:hAnsi="Tahoma"/>
          <w:sz w:val="20"/>
          <w:szCs w:val="20"/>
        </w:rPr>
        <w:t xml:space="preserve">Where possible, lock out electrical breakers first to prevent start-up while isolating valves; ensure each energy-isolating device is in the SAFE/OFF position.</w:t>
      </w:r>
    </w:p>
    <w:p>
      <w:pPr>
        <w:pStyle w:val="ListParagraph"/>
        <w:numPr>
          <w:ilvl w:val="0"/>
          <w:numId w:val="2"/>
        </w:numPr>
        <w:spacing w:after="60" w:line="268"/>
        <w:jc w:val="both"/>
      </w:pPr>
      <w:r>
        <w:rPr>
          <w:rFonts w:ascii="Tahoma" w:cs="Tahoma" w:eastAsia="Tahoma" w:hAnsi="Tahoma"/>
          <w:sz w:val="20"/>
          <w:szCs w:val="20"/>
        </w:rPr>
        <w:t xml:space="preserve">Dissipate or restrain stored/residual energy (capacitors, springs, elevated members, flywheels, hydraulic systems, air/gas/steam/water pressure) by grounding, repositioning, blocking or bleeding down; activate the energy-isolating device(s) to isolate the machine.</w:t>
      </w:r>
    </w:p>
    <w:p>
      <w:pPr>
        <w:keepNext/>
        <w:spacing w:after="80" w:before="160"/>
      </w:pPr>
      <w:r>
        <w:rPr>
          <w:rFonts w:ascii="Tahoma" w:cs="Tahoma" w:eastAsia="Tahoma" w:hAnsi="Tahoma"/>
          <w:b/>
          <w:bCs/>
          <w:color w:val="B5692B"/>
          <w:sz w:val="20"/>
          <w:szCs w:val="20"/>
        </w:rPr>
        <w:t xml:space="preserve">10.3  Apply LOTO Devices and Control Stored Energy</w:t>
      </w:r>
    </w:p>
    <w:p>
      <w:pPr>
        <w:pStyle w:val="ListParagraph"/>
        <w:numPr>
          <w:ilvl w:val="0"/>
          <w:numId w:val="2"/>
        </w:numPr>
        <w:spacing w:after="60" w:line="268"/>
        <w:jc w:val="both"/>
      </w:pPr>
      <w:r>
        <w:rPr>
          <w:rFonts w:ascii="Tahoma" w:cs="Tahoma" w:eastAsia="Tahoma" w:hAnsi="Tahoma"/>
          <w:sz w:val="20"/>
          <w:szCs w:val="20"/>
        </w:rPr>
        <w:t xml:space="preserve">Each authorised individual attaches his own lock and tag to each energy-isolating source; where a tag cannot be affixed directly, it is located as close as safely possible in an obvious position.</w:t>
      </w:r>
    </w:p>
    <w:p>
      <w:pPr>
        <w:pStyle w:val="ListParagraph"/>
        <w:numPr>
          <w:ilvl w:val="0"/>
          <w:numId w:val="2"/>
        </w:numPr>
        <w:spacing w:after="60" w:line="268"/>
        <w:jc w:val="both"/>
      </w:pPr>
      <w:r>
        <w:rPr>
          <w:rFonts w:ascii="Tahoma" w:cs="Tahoma" w:eastAsia="Tahoma" w:hAnsi="Tahoma"/>
          <w:sz w:val="20"/>
          <w:szCs w:val="20"/>
        </w:rPr>
        <w:t xml:space="preserve">Inspect that all parts have stopped moving; install ground wires; relieve trapped pressure; release/block spring tension; block or brace parts that could fall or move on loss of pressure; bleed lines and leave vent valves open; drain process piping and close valves; use a blank flange where there is no valve; purge reactor tanks and process lines; allow extreme cold/heat to dissipate (wear protective clothing if time does not allow), and monitor energy that can re-accumulate.</w:t>
      </w:r>
    </w:p>
    <w:p>
      <w:pPr>
        <w:keepNext/>
        <w:spacing w:after="80" w:before="160"/>
      </w:pPr>
      <w:r>
        <w:rPr>
          <w:rFonts w:ascii="Tahoma" w:cs="Tahoma" w:eastAsia="Tahoma" w:hAnsi="Tahoma"/>
          <w:b/>
          <w:bCs/>
          <w:color w:val="B5692B"/>
          <w:sz w:val="20"/>
          <w:szCs w:val="20"/>
        </w:rPr>
        <w:t xml:space="preserve">10.4  Verify Safe Condition</w:t>
      </w:r>
    </w:p>
    <w:p>
      <w:pPr>
        <w:pStyle w:val="ListParagraph"/>
        <w:numPr>
          <w:ilvl w:val="0"/>
          <w:numId w:val="2"/>
        </w:numPr>
        <w:spacing w:after="60" w:line="268"/>
        <w:jc w:val="both"/>
      </w:pPr>
      <w:r>
        <w:rPr>
          <w:rFonts w:ascii="Tahoma" w:cs="Tahoma" w:eastAsia="Tahoma" w:hAnsi="Tahoma"/>
          <w:sz w:val="20"/>
          <w:szCs w:val="20"/>
        </w:rPr>
        <w:t xml:space="preserve">Check that no personnel are exposed; verify isolation by operating the normal control(s) or testing (e.g. voltmeter) to confirm the equipment will not operate; return controls to neutral/off. The machine is now locked out.</w:t>
      </w:r>
    </w:p>
    <w:p>
      <w:pPr>
        <w:pStyle w:val="Heading1"/>
      </w:pPr>
      <w:r>
        <w:t xml:space="preserve">11. End-of-Shift and Restoring to Service</w:t>
      </w:r>
    </w:p>
    <w:p>
      <w:pPr>
        <w:pStyle w:val="ListParagraph"/>
        <w:numPr>
          <w:ilvl w:val="0"/>
          <w:numId w:val="2"/>
        </w:numPr>
        <w:spacing w:after="60" w:line="268"/>
        <w:jc w:val="both"/>
      </w:pPr>
      <w:r>
        <w:rPr>
          <w:rFonts w:ascii="Tahoma" w:cs="Tahoma" w:eastAsia="Tahoma" w:hAnsi="Tahoma"/>
          <w:sz w:val="20"/>
          <w:szCs w:val="20"/>
        </w:rPr>
        <w:t xml:space="preserve">Where a single shift/individual works on the equipment, locks/tags remain until work is complete; for shift turnover, the off-going personnel remove their devices and the on-coming personnel install their own per the LOTO procedure (protection shall not be interrupted).</w:t>
      </w:r>
    </w:p>
    <w:p>
      <w:pPr>
        <w:pStyle w:val="ListParagraph"/>
        <w:numPr>
          <w:ilvl w:val="0"/>
          <w:numId w:val="2"/>
        </w:numPr>
        <w:spacing w:after="60" w:line="268"/>
        <w:jc w:val="both"/>
      </w:pPr>
      <w:r>
        <w:rPr>
          <w:rFonts w:ascii="Tahoma" w:cs="Tahoma" w:eastAsia="Tahoma" w:hAnsi="Tahoma"/>
          <w:sz w:val="20"/>
          <w:szCs w:val="20"/>
        </w:rPr>
        <w:t xml:space="preserve">To restore equipment: conduct a headcount to confirm everyone is clear; notify the area that LOTO is being removed; confirm nonessential items are removed and components are intact; verify controls are in neutral; remove LOTO devices — each removed by the person who applied it — and re-energise; notify affected personnel that the equipment is ready for use.</w:t>
      </w:r>
    </w:p>
    <w:p>
      <w:pPr>
        <w:spacing w:after="120" w:before="80"/>
      </w:pPr>
      <w:r>
        <w:rPr>
          <w:rFonts w:ascii="Tahoma" w:cs="Tahoma" w:eastAsia="Tahoma" w:hAnsi="Tahoma"/>
          <w:b/>
          <w:bCs/>
          <w:color w:val="542A12"/>
          <w:sz w:val="18"/>
          <w:szCs w:val="18"/>
        </w:rPr>
        <w:t xml:space="preserve">Note:  </w:t>
      </w:r>
      <w:r>
        <w:rPr>
          <w:rFonts w:ascii="Tahoma" w:cs="Tahoma" w:eastAsia="Tahoma" w:hAnsi="Tahoma"/>
          <w:color w:val="444444"/>
          <w:sz w:val="18"/>
          <w:szCs w:val="18"/>
        </w:rPr>
        <w:t xml:space="preserve">Removal of some forms of blocking may require re-energisation of the machine before the blocking can be safely removed.</w:t>
      </w:r>
    </w:p>
    <w:p>
      <w:pPr>
        <w:pStyle w:val="Heading1"/>
      </w:pPr>
      <w:r>
        <w:t xml:space="preserve">12. Lock/Tag Removal by Others</w:t>
      </w:r>
    </w:p>
    <w:p>
      <w:pPr>
        <w:spacing w:after="120" w:line="276"/>
        <w:jc w:val="both"/>
      </w:pPr>
      <w:r>
        <w:rPr>
          <w:rFonts w:ascii="Tahoma" w:cs="Tahoma" w:eastAsia="Tahoma" w:hAnsi="Tahoma"/>
          <w:sz w:val="20"/>
          <w:szCs w:val="20"/>
        </w:rPr>
        <w:t xml:space="preserve">Only the person who applied a LOTO device may remove it. If that person is unavailable, the device may be removed by the Authorized Person's Supervisor — who submits a written report of the removal and reason — only where the equipment must be returned to service for an emergency, after verifying the applier is not at the facility, making all reasonable efforts to contact him, ensuring he knows the device was removed before returning to the job, and confirming the task is complete or at a safe point. The Supervisor then directs removal of the lock.</w:t>
      </w:r>
    </w:p>
    <w:p>
      <w:pPr>
        <w:pStyle w:val="Heading1"/>
      </w:pPr>
      <w:r>
        <w:t xml:space="preserve">13. LOTO for Mobile Equipment</w:t>
      </w:r>
    </w:p>
    <w:p>
      <w:pPr>
        <w:pStyle w:val="ListParagraph"/>
        <w:numPr>
          <w:ilvl w:val="0"/>
          <w:numId w:val="2"/>
        </w:numPr>
        <w:spacing w:after="60" w:line="268"/>
        <w:jc w:val="both"/>
      </w:pPr>
      <w:r>
        <w:rPr>
          <w:rFonts w:ascii="Tahoma" w:cs="Tahoma" w:eastAsia="Tahoma" w:hAnsi="Tahoma"/>
          <w:sz w:val="20"/>
          <w:szCs w:val="20"/>
        </w:rPr>
        <w:t xml:space="preserve">To prevent unexpected energisation during servicing, the authorised person removes and retains the ignition keys; attaches a tag at the point of operation and a visible location; takes at least one further measure to make the equipment inoperable (e.g. disconnect the battery); chocks the wheels; secures hydraulic systems; guards sharp instruments/blades where possible; and permits only authorised personnel in the work area.</w:t>
      </w:r>
    </w:p>
    <w:p>
      <w:pPr>
        <w:pStyle w:val="Heading1"/>
      </w:pPr>
      <w:r>
        <w:t xml:space="preserve">14. Group LOTO and Inspection</w:t>
      </w:r>
    </w:p>
    <w:p>
      <w:pPr>
        <w:pStyle w:val="ListParagraph"/>
        <w:numPr>
          <w:ilvl w:val="0"/>
          <w:numId w:val="2"/>
        </w:numPr>
        <w:spacing w:after="60" w:line="268"/>
        <w:jc w:val="both"/>
      </w:pPr>
      <w:r>
        <w:rPr>
          <w:rFonts w:ascii="Tahoma" w:cs="Tahoma" w:eastAsia="Tahoma" w:hAnsi="Tahoma"/>
          <w:sz w:val="20"/>
          <w:szCs w:val="20"/>
        </w:rPr>
        <w:t xml:space="preserve">The SH&amp;E Representative requests a copy of any other contractor/owner/operator LOTO plan and, during pre-job orientation, reviews differences that could cause confusion.</w:t>
      </w:r>
    </w:p>
    <w:p>
      <w:pPr>
        <w:pStyle w:val="ListParagraph"/>
        <w:numPr>
          <w:ilvl w:val="0"/>
          <w:numId w:val="2"/>
        </w:numPr>
        <w:spacing w:after="60" w:line="268"/>
        <w:jc w:val="both"/>
      </w:pPr>
      <w:r>
        <w:rPr>
          <w:rFonts w:ascii="Tahoma" w:cs="Tahoma" w:eastAsia="Tahoma" w:hAnsi="Tahoma"/>
          <w:sz w:val="20"/>
          <w:szCs w:val="20"/>
        </w:rPr>
        <w:t xml:space="preserve">Under group LOTO, the Supervisor holds primary responsibility and ensures protection equal to or better than individual LOTO; where multiple crews are involved an authorised person coordinates and ensures continuity of protection.</w:t>
      </w:r>
    </w:p>
    <w:p>
      <w:pPr>
        <w:pStyle w:val="ListParagraph"/>
        <w:numPr>
          <w:ilvl w:val="0"/>
          <w:numId w:val="2"/>
        </w:numPr>
        <w:spacing w:after="60" w:line="268"/>
        <w:jc w:val="both"/>
      </w:pPr>
      <w:r>
        <w:rPr>
          <w:rFonts w:ascii="Tahoma" w:cs="Tahoma" w:eastAsia="Tahoma" w:hAnsi="Tahoma"/>
          <w:sz w:val="20"/>
          <w:szCs w:val="20"/>
        </w:rPr>
        <w:t xml:space="preserve">Each authorised person affixes a personal device to the group lockbox when starting work and removes it when stopping; keys are placed in the lockbox, which is locked.</w:t>
      </w:r>
    </w:p>
    <w:p>
      <w:pPr>
        <w:pStyle w:val="ListParagraph"/>
        <w:numPr>
          <w:ilvl w:val="0"/>
          <w:numId w:val="2"/>
        </w:numPr>
        <w:spacing w:after="60" w:line="268"/>
        <w:jc w:val="both"/>
      </w:pPr>
      <w:r>
        <w:rPr>
          <w:rFonts w:ascii="Tahoma" w:cs="Tahoma" w:eastAsia="Tahoma" w:hAnsi="Tahoma"/>
          <w:sz w:val="20"/>
          <w:szCs w:val="20"/>
        </w:rPr>
        <w:t xml:space="preserve">Weekly inspections of LOTO Log locations shall be conducted to verify continued need and that devices/tags remain in place; the authorised person submits completed inspection forms to the SH&amp;E Representative each month.</w:t>
      </w:r>
    </w:p>
    <w:p>
      <w:pPr>
        <w:pStyle w:val="Heading1"/>
      </w:pPr>
      <w:r>
        <w:t xml:space="preserve">15. Training</w:t>
      </w:r>
    </w:p>
    <w:p>
      <w:pPr>
        <w:spacing w:after="120" w:line="276"/>
        <w:jc w:val="both"/>
      </w:pPr>
      <w:r>
        <w:rPr>
          <w:rFonts w:ascii="Tahoma" w:cs="Tahoma" w:eastAsia="Tahoma" w:hAnsi="Tahoma"/>
          <w:sz w:val="20"/>
          <w:szCs w:val="20"/>
        </w:rPr>
        <w:t xml:space="preserve">Affected and Authorized personnel shall be trained in the Project LOTO Plan at initial assignment and whenever a new hazard is introduced. Affected personnel are instructed in the purpose and use of energy control and the prohibition on restarting locked-out equipment. Authorized personnel are trained in recognising hazardous energy sources, the type and magnitude of energy, and the methods and means for isolation and control. Retraining is provided on a change of assignment, machinery, process or control procedure, or where deviations or knowledge gaps are identified.</w:t>
      </w:r>
    </w:p>
    <w:p>
      <w:pPr>
        <w:pStyle w:val="Heading1"/>
      </w:pPr>
      <w:r>
        <w:t xml:space="preserve">16. Records / Documentation</w:t>
      </w:r>
    </w:p>
    <w:p>
      <w:pPr>
        <w:spacing w:after="120" w:line="276"/>
        <w:jc w:val="both"/>
      </w:pPr>
      <w:r>
        <w:rPr>
          <w:rFonts w:ascii="Tahoma" w:cs="Tahoma" w:eastAsia="Tahoma" w:hAnsi="Tahoma"/>
          <w:sz w:val="20"/>
          <w:szCs w:val="20"/>
        </w:rPr>
        <w:t xml:space="preserve">The Project LOTO Plan, LOTO Log, requests/permits, weekly inspection forms and training records shall be maintained on-site for the duration of the project and archived at project close.</w:t>
      </w:r>
    </w:p>
    <w:p>
      <w:pPr>
        <w:pStyle w:val="Heading1"/>
      </w:pPr>
      <w:r>
        <w:t xml:space="preserve">17. Related Documents</w:t>
      </w:r>
    </w:p>
    <w:p>
      <w:pPr>
        <w:pStyle w:val="ListParagraph"/>
        <w:numPr>
          <w:ilvl w:val="0"/>
          <w:numId w:val="2"/>
        </w:numPr>
        <w:spacing w:after="60" w:line="268"/>
        <w:jc w:val="both"/>
      </w:pPr>
      <w:r>
        <w:rPr>
          <w:rFonts w:ascii="Tahoma" w:cs="Tahoma" w:eastAsia="Tahoma" w:hAnsi="Tahoma"/>
          <w:sz w:val="20"/>
          <w:szCs w:val="20"/>
        </w:rPr>
        <w:t xml:space="preserve">DCSM — Electrical Safety</w:t>
      </w:r>
    </w:p>
    <w:p>
      <w:pPr>
        <w:pStyle w:val="ListParagraph"/>
        <w:numPr>
          <w:ilvl w:val="0"/>
          <w:numId w:val="2"/>
        </w:numPr>
        <w:spacing w:after="60" w:line="268"/>
        <w:jc w:val="both"/>
      </w:pPr>
      <w:r>
        <w:rPr>
          <w:rFonts w:ascii="Tahoma" w:cs="Tahoma" w:eastAsia="Tahoma" w:hAnsi="Tahoma"/>
          <w:sz w:val="20"/>
          <w:szCs w:val="20"/>
        </w:rPr>
        <w:t xml:space="preserve">DCSM — Confined Spaces</w:t>
      </w:r>
    </w:p>
    <w:p>
      <w:pPr>
        <w:pStyle w:val="ListParagraph"/>
        <w:numPr>
          <w:ilvl w:val="0"/>
          <w:numId w:val="2"/>
        </w:numPr>
        <w:spacing w:after="60" w:line="268"/>
        <w:jc w:val="both"/>
      </w:pPr>
      <w:r>
        <w:rPr>
          <w:rFonts w:ascii="Tahoma" w:cs="Tahoma" w:eastAsia="Tahoma" w:hAnsi="Tahoma"/>
          <w:sz w:val="20"/>
          <w:szCs w:val="20"/>
        </w:rPr>
        <w:t xml:space="preserve">DCSM — Motor Vehicles and Equipment</w:t>
      </w:r>
    </w:p>
    <w:p>
      <w:pPr>
        <w:pStyle w:val="ListParagraph"/>
        <w:numPr>
          <w:ilvl w:val="0"/>
          <w:numId w:val="2"/>
        </w:numPr>
        <w:spacing w:after="60" w:line="268"/>
        <w:jc w:val="both"/>
      </w:pPr>
      <w:r>
        <w:rPr>
          <w:rFonts w:ascii="Tahoma" w:cs="Tahoma" w:eastAsia="Tahoma" w:hAnsi="Tahoma"/>
          <w:sz w:val="20"/>
          <w:szCs w:val="20"/>
        </w:rPr>
        <w:t xml:space="preserve">DCSM — Permit to Work</w:t>
      </w:r>
    </w:p>
    <w:p>
      <w:pPr>
        <w:pStyle w:val="Heading1"/>
      </w:pPr>
      <w:r>
        <w:t xml:space="preserve">Revision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1500"/>
        <w:gridCol w:w="4460"/>
        <w:gridCol w:w="2400"/>
      </w:tblGrid>
      <w:tr>
        <w:trPr>
          <w:tblHeader/>
        </w:trPr>
        <w:tc>
          <w:tcPr>
            <w:tcW w:type="dxa" w:w="1000"/>
            <w:tcBorders>
              <w:top w:val="single" w:color="BFB3AA" w:sz="4"/>
              <w:left w:val="single" w:color="BFB3AA" w:sz="4"/>
              <w:bottom w:val="single" w:color="BFB3AA" w:sz="4"/>
              <w:right w:val="single" w:color="BFB3AA" w:sz="4"/>
            </w:tcBorders>
            <w:shd w:fill="542A12" w:color="auto" w:val="clear"/>
            <w:tcMar>
              <w:top w:type="dxa" w:w="60"/>
              <w:left w:type="dxa" w:w="120"/>
              <w:bottom w:type="dxa" w:w="60"/>
              <w:right w:type="dxa" w:w="120"/>
            </w:tcMar>
            <w:vAlign w:val="center"/>
          </w:tcPr>
          <w:p>
            <w:r>
              <w:rPr>
                <w:rFonts w:ascii="Tahoma" w:cs="Tahoma" w:eastAsia="Tahoma" w:hAnsi="Tahoma"/>
                <w:b/>
                <w:bCs/>
                <w:color w:val="FFFFFF"/>
                <w:sz w:val="18"/>
                <w:szCs w:val="18"/>
              </w:rPr>
              <w:t xml:space="preserve">Rev.</w:t>
            </w:r>
          </w:p>
        </w:tc>
        <w:tc>
          <w:tcPr>
            <w:tcW w:type="dxa" w:w="1500"/>
            <w:tcBorders>
              <w:top w:val="single" w:color="BFB3AA" w:sz="4"/>
              <w:left w:val="single" w:color="BFB3AA" w:sz="4"/>
              <w:bottom w:val="single" w:color="BFB3AA" w:sz="4"/>
              <w:right w:val="single" w:color="BFB3AA" w:sz="4"/>
            </w:tcBorders>
            <w:shd w:fill="542A12" w:color="auto" w:val="clear"/>
            <w:tcMar>
              <w:top w:type="dxa" w:w="60"/>
              <w:left w:type="dxa" w:w="120"/>
              <w:bottom w:type="dxa" w:w="60"/>
              <w:right w:type="dxa" w:w="120"/>
            </w:tcMar>
            <w:vAlign w:val="center"/>
          </w:tcPr>
          <w:p>
            <w:r>
              <w:rPr>
                <w:rFonts w:ascii="Tahoma" w:cs="Tahoma" w:eastAsia="Tahoma" w:hAnsi="Tahoma"/>
                <w:b/>
                <w:bCs/>
                <w:color w:val="FFFFFF"/>
                <w:sz w:val="18"/>
                <w:szCs w:val="18"/>
              </w:rPr>
              <w:t xml:space="preserve">Date</w:t>
            </w:r>
          </w:p>
        </w:tc>
        <w:tc>
          <w:tcPr>
            <w:tcW w:type="dxa" w:w="4460"/>
            <w:tcBorders>
              <w:top w:val="single" w:color="BFB3AA" w:sz="4"/>
              <w:left w:val="single" w:color="BFB3AA" w:sz="4"/>
              <w:bottom w:val="single" w:color="BFB3AA" w:sz="4"/>
              <w:right w:val="single" w:color="BFB3AA" w:sz="4"/>
            </w:tcBorders>
            <w:shd w:fill="542A12" w:color="auto" w:val="clear"/>
            <w:tcMar>
              <w:top w:type="dxa" w:w="60"/>
              <w:left w:type="dxa" w:w="120"/>
              <w:bottom w:type="dxa" w:w="60"/>
              <w:right w:type="dxa" w:w="120"/>
            </w:tcMar>
            <w:vAlign w:val="center"/>
          </w:tcPr>
          <w:p>
            <w:r>
              <w:rPr>
                <w:rFonts w:ascii="Tahoma" w:cs="Tahoma" w:eastAsia="Tahoma" w:hAnsi="Tahoma"/>
                <w:b/>
                <w:bCs/>
                <w:color w:val="FFFFFF"/>
                <w:sz w:val="18"/>
                <w:szCs w:val="18"/>
              </w:rPr>
              <w:t xml:space="preserve">Description of Change</w:t>
            </w:r>
          </w:p>
        </w:tc>
        <w:tc>
          <w:tcPr>
            <w:tcW w:type="dxa" w:w="2400"/>
            <w:tcBorders>
              <w:top w:val="single" w:color="BFB3AA" w:sz="4"/>
              <w:left w:val="single" w:color="BFB3AA" w:sz="4"/>
              <w:bottom w:val="single" w:color="BFB3AA" w:sz="4"/>
              <w:right w:val="single" w:color="BFB3AA" w:sz="4"/>
            </w:tcBorders>
            <w:shd w:fill="542A12" w:color="auto" w:val="clear"/>
            <w:tcMar>
              <w:top w:type="dxa" w:w="60"/>
              <w:left w:type="dxa" w:w="120"/>
              <w:bottom w:type="dxa" w:w="60"/>
              <w:right w:type="dxa" w:w="120"/>
            </w:tcMar>
            <w:vAlign w:val="center"/>
          </w:tcPr>
          <w:p>
            <w:r>
              <w:rPr>
                <w:rFonts w:ascii="Tahoma" w:cs="Tahoma" w:eastAsia="Tahoma" w:hAnsi="Tahoma"/>
                <w:b/>
                <w:bCs/>
                <w:color w:val="FFFFFF"/>
                <w:sz w:val="18"/>
                <w:szCs w:val="18"/>
              </w:rPr>
              <w:t xml:space="preserve">Approved By</w:t>
            </w:r>
          </w:p>
        </w:tc>
      </w:tr>
      <w:tr>
        <w:tc>
          <w:tcPr>
            <w:tcW w:type="dxa" w:w="10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R00</w:t>
            </w:r>
          </w:p>
        </w:tc>
        <w:tc>
          <w:tcPr>
            <w:tcW w:type="dxa" w:w="15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June 2026</w:t>
            </w:r>
          </w:p>
        </w:tc>
        <w:tc>
          <w:tcPr>
            <w:tcW w:type="dxa" w:w="44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Initial issue. Restructured to the DAN integrated HSSE management-system template and re-branded in accordance with the DAN Brand Book.</w:t>
            </w:r>
          </w:p>
        </w:tc>
        <w:tc>
          <w:tcPr>
            <w:tcW w:type="dxa" w:w="24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Project Director</w:t>
            </w:r>
          </w:p>
        </w:tc>
      </w:tr>
      <w:tr>
        <w:tc>
          <w:tcPr>
            <w:tcW w:type="dxa" w:w="10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R01</w:t>
            </w:r>
          </w:p>
        </w:tc>
        <w:tc>
          <w:tcPr>
            <w:tcW w:type="dxa" w:w="15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June 2026</w:t>
            </w:r>
          </w:p>
        </w:tc>
        <w:tc>
          <w:tcPr>
            <w:tcW w:type="dxa" w:w="44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Re-coded to the updated DAN document-numbering convention (01-DAN-PRC-HSE-{seq}{code}).</w:t>
            </w:r>
          </w:p>
        </w:tc>
        <w:tc>
          <w:tcPr>
            <w:tcW w:type="dxa" w:w="24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Project Director</w:t>
            </w:r>
          </w:p>
        </w:tc>
      </w:tr>
    </w:tbl>
    <w:sectPr>
      <w:headerReference w:type="default" r:id="rId7"/>
      <w:footerReference w:type="default" r:id="rId8"/>
      <w:pgSz w:w="12240" w:h="15840" w:orient="portrait"/>
      <w:pgMar w:top="162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FB3AA" w:sz="6" w:space="4"/>
      </w:pBdr>
      <w:tabs>
        <w:tab w:val="right" w:pos="9360"/>
      </w:tabs>
    </w:pPr>
    <w:r>
      <w:rPr>
        <w:rFonts w:ascii="Tahoma" w:cs="Tahoma" w:eastAsia="Tahoma" w:hAnsi="Tahoma"/>
        <w:color w:val="595959"/>
        <w:sz w:val="14"/>
        <w:szCs w:val="14"/>
      </w:rPr>
      <w:t xml:space="preserve">DCSM — Lockout / Tagout</w:t>
    </w:r>
    <w:r>
      <w:rPr>
        <w:rFonts w:ascii="Tahoma" w:cs="Tahoma" w:eastAsia="Tahoma" w:hAnsi="Tahoma"/>
        <w:sz w:val="14"/>
        <w:szCs w:val="14"/>
      </w:rPr>
      <w:t xml:space="preserve">	</w:t>
    </w:r>
    <w:r>
      <w:rPr>
        <w:rFonts w:ascii="Tahoma" w:cs="Tahoma" w:eastAsia="Tahoma" w:hAnsi="Tahoma"/>
        <w:color w:val="595959"/>
        <w:sz w:val="14"/>
        <w:szCs w:val="14"/>
      </w:rPr>
      <w:t xml:space="preserve">Page </w:t>
    </w:r>
    <w:r>
      <w:rPr>
        <w:rFonts w:ascii="Tahoma" w:cs="Tahoma" w:eastAsia="Tahoma" w:hAnsi="Tahoma"/>
        <w:color w:val="595959"/>
        <w:sz w:val="14"/>
        <w:szCs w:val="14"/>
      </w:rPr>
      <w:fldChar w:fldCharType="begin"/>
      <w:instrText xml:space="preserve">PAGE</w:instrText>
      <w:fldChar w:fldCharType="separate"/>
      <w:fldChar w:fldCharType="end"/>
    </w:r>
    <w:r>
      <w:rPr>
        <w:rFonts w:ascii="Tahoma" w:cs="Tahoma" w:eastAsia="Tahoma" w:hAnsi="Tahoma"/>
        <w:color w:val="595959"/>
        <w:sz w:val="14"/>
        <w:szCs w:val="14"/>
      </w:rPr>
      <w:t xml:space="preserve"> of </w:t>
    </w:r>
    <w:r>
      <w:rPr>
        <w:rFonts w:ascii="Tahoma" w:cs="Tahoma" w:eastAsia="Tahoma" w:hAnsi="Tahoma"/>
        <w:color w:val="595959"/>
        <w:sz w:val="14"/>
        <w:szCs w:val="14"/>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4680"/>
      <w:gridCol w:w="4680"/>
    </w:tblGrid>
    <w:tr>
      <w:tc>
        <w:tcPr>
          <w:tcW w:type="dxa" w:w="4680"/>
          <w:tcBorders>
            <w:top w:val="none" w:color="FFFFFF" w:sz="0"/>
            <w:left w:val="none" w:color="FFFFFF" w:sz="0"/>
            <w:bottom w:val="none" w:color="FFFFFF" w:sz="0"/>
            <w:right w:val="none" w:color="FFFFFF" w:sz="0"/>
          </w:tcBorders>
        </w:tcPr>
        <w:p>
          <w:r>
            <w:rPr>
              <w:rFonts w:ascii="Tahoma" w:cs="Tahoma" w:eastAsia="Tahoma" w:hAnsi="Tahoma"/>
              <w:b/>
              <w:bCs/>
              <w:color w:val="542A12"/>
              <w:sz w:val="22"/>
              <w:szCs w:val="22"/>
            </w:rPr>
            <w:t xml:space="preserve">DAN</w:t>
          </w:r>
          <w:r>
            <w:rPr>
              <w:rFonts w:ascii="Tahoma" w:cs="Tahoma" w:eastAsia="Tahoma" w:hAnsi="Tahoma"/>
              <w:color w:val="595959"/>
              <w:sz w:val="14"/>
              <w:szCs w:val="14"/>
            </w:rPr>
            <w:t xml:space="preserve">  |  HSSE Management System</w:t>
          </w:r>
        </w:p>
      </w:tc>
      <w:tc>
        <w:tcPr>
          <w:tcW w:type="dxa" w:w="4680"/>
          <w:tcBorders>
            <w:top w:val="none" w:color="FFFFFF" w:sz="0"/>
            <w:left w:val="none" w:color="FFFFFF" w:sz="0"/>
            <w:bottom w:val="none" w:color="FFFFFF" w:sz="0"/>
            <w:right w:val="none" w:color="FFFFFF" w:sz="0"/>
          </w:tcBorders>
        </w:tcPr>
        <w:p>
          <w:pPr>
            <w:jc w:val="right"/>
          </w:pPr>
          <w:r>
            <w:rPr>
              <w:rFonts w:ascii="Tahoma" w:cs="Tahoma" w:eastAsia="Tahoma" w:hAnsi="Tahoma"/>
              <w:color w:val="595959"/>
              <w:sz w:val="14"/>
              <w:szCs w:val="14"/>
            </w:rPr>
            <w:t xml:space="preserve">01-DAN-PRC-HSE-000034-LOTO · R01</w:t>
          </w:r>
        </w:p>
      </w:tc>
    </w:tr>
  </w:tbl>
  <w:p>
    <w:pPr>
      <w:pBdr>
        <w:bottom w:val="single" w:color="542A12" w:sz="6" w:space="1"/>
      </w:pBdr>
      <w:spacing w:before="40"/>
    </w:pPr>
    <w:r>
      <w:rPr>
        <w:sz w:val="2"/>
        <w:szCs w:val="2"/>
      </w:rPr>
      <w:t xml:space="preserve"/>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rPr>
        <w:color w:val="542A12"/>
      </w:rPr>
    </w:lvl>
  </w:abstractNum>
  <w:abstractNum w:abstractNumId="3" w15:restartNumberingAfterBreak="0">
    <w:multiLevelType w:val="hybridMultilevel"/>
    <w:lvl w:ilvl="0" w15:tentative="1">
      <w:start w:val="1"/>
      <w:numFmt w:val="bullet"/>
      <w:lvlText w:val="•"/>
      <w:lvlJc w:val="left"/>
      <w:pPr>
        <w:ind w:left="900" w:hanging="270"/>
      </w:pPr>
      <w:rPr>
        <w:color w:val="E68233"/>
      </w:r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ahoma" w:cs="Tahoma" w:eastAsia="Tahoma" w:hAnsi="Tahoma"/>
        <w:color w:val="222222"/>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D9CCC2" w:sz="4" w:space="4"/>
      </w:pBdr>
      <w:spacing w:after="140" w:before="280"/>
      <w:outlineLvl w:val="0"/>
    </w:pPr>
    <w:rPr>
      <w:rFonts w:ascii="Tahoma" w:cs="Tahoma" w:eastAsia="Tahoma" w:hAnsi="Tahoma"/>
      <w:b/>
      <w:bCs/>
      <w:color w:val="542A12"/>
      <w:sz w:val="26"/>
      <w:szCs w:val="26"/>
    </w:rPr>
  </w:style>
  <w:style w:type="paragraph" w:styleId="Heading2">
    <w:name w:val="Heading 2"/>
    <w:basedOn w:val="Normal"/>
    <w:next w:val="Normal"/>
    <w:qFormat/>
    <w:pPr>
      <w:spacing w:after="100" w:before="200"/>
      <w:outlineLvl w:val="1"/>
    </w:pPr>
    <w:rPr>
      <w:rFonts w:ascii="Tahoma" w:cs="Tahoma" w:eastAsia="Tahoma" w:hAnsi="Tahoma"/>
      <w:b/>
      <w:bCs/>
      <w:color w:val="B5692B"/>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d1936a4fbd2c20a575d426ea593d61c06905c283.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Lockout / Tagout (LOTO)</dc:title>
  <dc:creator>DAN HSSE Management System</dc:creator>
  <cp:lastModifiedBy>Un-named</cp:lastModifiedBy>
  <cp:revision>1</cp:revision>
  <dcterms:created xsi:type="dcterms:W3CDTF">2026-06-27T21:52:28.069Z</dcterms:created>
  <dcterms:modified xsi:type="dcterms:W3CDTF">2026-06-27T21:52:28.069Z</dcterms:modified>
</cp:coreProperties>
</file>

<file path=docProps/custom.xml><?xml version="1.0" encoding="utf-8"?>
<Properties xmlns="http://schemas.openxmlformats.org/officeDocument/2006/custom-properties" xmlns:vt="http://schemas.openxmlformats.org/officeDocument/2006/docPropsVTypes"/>
</file>