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Motor Vehicles and Equipment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01-DAN-PRC-HSE-000035-MVEQ</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DAN requirements for mobile equipment, including heavy equipment, industrial trucks and motor vehicles,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Conveyors and cranes are not covered by this document — see the Cranes and Hoists chapter.</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motor vehicles, heavy equipment and powered industrial trucks operated on DAN property, worksites and public roads, covering operator credentials, equipment condition, barricades, accident reporting, inspection, maintenance and training.</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1910.177–1910.178; 29 CFR 1926.600–1926.604, 1926.952, 1926.958, 1926.1000–1926.1003</w:t>
      </w:r>
    </w:p>
    <w:p>
      <w:pPr>
        <w:pStyle w:val="ListParagraph"/>
        <w:numPr>
          <w:ilvl w:val="0"/>
          <w:numId w:val="2"/>
        </w:numPr>
        <w:spacing w:after="60" w:line="268"/>
        <w:jc w:val="both"/>
      </w:pPr>
      <w:r>
        <w:rPr>
          <w:rFonts w:ascii="Tahoma" w:cs="Tahoma" w:eastAsia="Tahoma" w:hAnsi="Tahoma"/>
          <w:sz w:val="20"/>
          <w:szCs w:val="20"/>
        </w:rPr>
        <w:t xml:space="preserve">ANSI B56.1 — Safety Standard for Powered Industrial Trucks; ASME B56.6 — Rough Terrain Forklift Trucks</w:t>
      </w:r>
    </w:p>
    <w:p>
      <w:pPr>
        <w:pStyle w:val="ListParagraph"/>
        <w:numPr>
          <w:ilvl w:val="0"/>
          <w:numId w:val="2"/>
        </w:numPr>
        <w:spacing w:after="60" w:line="268"/>
        <w:jc w:val="both"/>
      </w:pPr>
      <w:r>
        <w:rPr>
          <w:rFonts w:ascii="Tahoma" w:cs="Tahoma" w:eastAsia="Tahoma" w:hAnsi="Tahoma"/>
          <w:sz w:val="20"/>
          <w:szCs w:val="20"/>
        </w:rPr>
        <w:t xml:space="preserve">EM 385-1-1, Section 16.A/16.B — Machinery and Mechanized Equipment</w:t>
      </w:r>
    </w:p>
    <w:p>
      <w:pPr>
        <w:pStyle w:val="ListParagraph"/>
        <w:numPr>
          <w:ilvl w:val="0"/>
          <w:numId w:val="2"/>
        </w:numPr>
        <w:spacing w:after="60" w:line="268"/>
        <w:jc w:val="both"/>
      </w:pPr>
      <w:r>
        <w:rPr>
          <w:rFonts w:ascii="Tahoma" w:cs="Tahoma" w:eastAsia="Tahoma" w:hAnsi="Tahoma"/>
          <w:sz w:val="20"/>
          <w:szCs w:val="20"/>
        </w:rPr>
        <w:t xml:space="preserve">DCSM — Cranes and Hoists; DCSM — Signage, Barrication and Traffic Control; DCSM — Lockout / Tagout</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Mobile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 equipment, powered industrial trucks and motor vehicles, whether DAN- or contractor-owned, leased or rented.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Powered Industrial Truck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mobile, power-driven truck used to carry, push, pull, lift, stack or tier materials (e.g. forklift).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Backing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area behind a vehicle into which it will reverse, which the observer must be able to see entirely.</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Motor Vehicle and Equipment Procedures</w:t>
      </w:r>
    </w:p>
    <w:p>
      <w:pPr>
        <w:pStyle w:val="ListParagraph"/>
        <w:numPr>
          <w:ilvl w:val="0"/>
          <w:numId w:val="2"/>
        </w:numPr>
        <w:spacing w:after="60" w:line="268"/>
        <w:jc w:val="both"/>
      </w:pPr>
      <w:r>
        <w:rPr>
          <w:rFonts w:ascii="Tahoma" w:cs="Tahoma" w:eastAsia="Tahoma" w:hAnsi="Tahoma"/>
          <w:sz w:val="20"/>
          <w:szCs w:val="20"/>
        </w:rPr>
        <w:t xml:space="preserve">Daily Equipment Safety Inspection Checklist</w:t>
      </w:r>
    </w:p>
    <w:p>
      <w:pPr>
        <w:pStyle w:val="ListParagraph"/>
        <w:numPr>
          <w:ilvl w:val="0"/>
          <w:numId w:val="2"/>
        </w:numPr>
        <w:spacing w:after="60" w:line="268"/>
        <w:jc w:val="both"/>
      </w:pPr>
      <w:r>
        <w:rPr>
          <w:rFonts w:ascii="Tahoma" w:cs="Tahoma" w:eastAsia="Tahoma" w:hAnsi="Tahoma"/>
          <w:sz w:val="20"/>
          <w:szCs w:val="20"/>
        </w:rPr>
        <w:t xml:space="preserve">Operator certifications (industrial-truck and equipment)</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Operator credentials shall be verified before any person is allowed to operate motor vehicles or equipment; operators shall hold a valid Saudi Arabian Government (SAG) driving licence when operating on highways, DAN property and worksites.</w:t>
      </w:r>
    </w:p>
    <w:p>
      <w:pPr>
        <w:pStyle w:val="ListParagraph"/>
        <w:numPr>
          <w:ilvl w:val="0"/>
          <w:numId w:val="2"/>
        </w:numPr>
        <w:spacing w:after="60" w:line="268"/>
        <w:jc w:val="both"/>
      </w:pPr>
      <w:r>
        <w:rPr>
          <w:rFonts w:ascii="Tahoma" w:cs="Tahoma" w:eastAsia="Tahoma" w:hAnsi="Tahoma"/>
          <w:sz w:val="20"/>
          <w:szCs w:val="20"/>
        </w:rPr>
        <w:t xml:space="preserve">Operators shall perform a 360° walk-around before getting into the vehicle, ensure it is safe to operate and contains all required safety equipment, and ensure it is properly equipped before operating in remote locations — no unsafe vehicles or equipment are allowed in construction areas.</w:t>
      </w:r>
    </w:p>
    <w:p>
      <w:pPr>
        <w:pStyle w:val="ListParagraph"/>
        <w:numPr>
          <w:ilvl w:val="0"/>
          <w:numId w:val="2"/>
        </w:numPr>
        <w:spacing w:after="60" w:line="268"/>
        <w:jc w:val="both"/>
      </w:pPr>
      <w:r>
        <w:rPr>
          <w:rFonts w:ascii="Tahoma" w:cs="Tahoma" w:eastAsia="Tahoma" w:hAnsi="Tahoma"/>
          <w:sz w:val="20"/>
          <w:szCs w:val="20"/>
        </w:rPr>
        <w:t xml:space="preserve">The safe working load, recommended operating speeds, special hazard warnings and other essential information shall be indicated on all mobile equipment and shall not be exceeded.</w:t>
      </w:r>
    </w:p>
    <w:p>
      <w:pPr>
        <w:pStyle w:val="ListParagraph"/>
        <w:numPr>
          <w:ilvl w:val="0"/>
          <w:numId w:val="2"/>
        </w:numPr>
        <w:spacing w:after="60" w:line="268"/>
        <w:jc w:val="both"/>
      </w:pPr>
      <w:r>
        <w:rPr>
          <w:rFonts w:ascii="Tahoma" w:cs="Tahoma" w:eastAsia="Tahoma" w:hAnsi="Tahoma"/>
          <w:sz w:val="20"/>
          <w:szCs w:val="20"/>
        </w:rPr>
        <w:t xml:space="preserve">When visibility warrants, vehicles shall have at least two operable headlights and taillights, and operable brake lights regardless of light conditions.</w:t>
      </w:r>
    </w:p>
    <w:p>
      <w:pPr>
        <w:pStyle w:val="ListParagraph"/>
        <w:numPr>
          <w:ilvl w:val="0"/>
          <w:numId w:val="2"/>
        </w:numPr>
        <w:spacing w:after="60" w:line="268"/>
        <w:jc w:val="both"/>
      </w:pPr>
      <w:r>
        <w:rPr>
          <w:rFonts w:ascii="Tahoma" w:cs="Tahoma" w:eastAsia="Tahoma" w:hAnsi="Tahoma"/>
          <w:sz w:val="20"/>
          <w:szCs w:val="20"/>
        </w:rPr>
        <w:t xml:space="preserve">Access to the cab and work locations shall provide sufficient steps and handholds/deck plates to allow at least three limbs in contact with the equipment at all times.</w:t>
      </w:r>
    </w:p>
    <w:p>
      <w:pPr>
        <w:pStyle w:val="ListParagraph"/>
        <w:numPr>
          <w:ilvl w:val="0"/>
          <w:numId w:val="2"/>
        </w:numPr>
        <w:spacing w:after="60" w:line="268"/>
        <w:jc w:val="both"/>
      </w:pPr>
      <w:r>
        <w:rPr>
          <w:rFonts w:ascii="Tahoma" w:cs="Tahoma" w:eastAsia="Tahoma" w:hAnsi="Tahoma"/>
          <w:sz w:val="20"/>
          <w:szCs w:val="20"/>
        </w:rPr>
        <w:t xml:space="preserve">Vehicles transporting personnel shall have firmly secured seats adequate for the number carried and functional seat belts and anchorages; cabbed vehicles shall have windshields and powered wipers, with cracked/broken glass replaced and defogging/defrosting devices where needed.</w:t>
      </w:r>
    </w:p>
    <w:p>
      <w:pPr>
        <w:pStyle w:val="Heading1"/>
      </w:pPr>
      <w:r>
        <w:t xml:space="preserve">7. Warning Devices and Reversing</w:t>
      </w:r>
    </w:p>
    <w:p>
      <w:pPr>
        <w:pStyle w:val="ListParagraph"/>
        <w:numPr>
          <w:ilvl w:val="0"/>
          <w:numId w:val="2"/>
        </w:numPr>
        <w:spacing w:after="60" w:line="268"/>
        <w:jc w:val="both"/>
      </w:pPr>
      <w:r>
        <w:rPr>
          <w:rFonts w:ascii="Tahoma" w:cs="Tahoma" w:eastAsia="Tahoma" w:hAnsi="Tahoma"/>
          <w:sz w:val="20"/>
          <w:szCs w:val="20"/>
        </w:rPr>
        <w:t xml:space="preserve">All mobile equipment shall have a horn distinguishable from surrounding noise and a functional automatic backup alarm whenever working near foot traffic or congested equipment areas.</w:t>
      </w:r>
    </w:p>
    <w:p>
      <w:pPr>
        <w:pStyle w:val="ListParagraph"/>
        <w:numPr>
          <w:ilvl w:val="0"/>
          <w:numId w:val="2"/>
        </w:numPr>
        <w:spacing w:after="60" w:line="268"/>
        <w:jc w:val="both"/>
      </w:pPr>
      <w:r>
        <w:rPr>
          <w:rFonts w:ascii="Tahoma" w:cs="Tahoma" w:eastAsia="Tahoma" w:hAnsi="Tahoma"/>
          <w:sz w:val="20"/>
          <w:szCs w:val="20"/>
        </w:rPr>
        <w:t xml:space="preserve">Operators of equipment with an obstructed rear view shall look to the rear when reversing; such equipment shall not be used unless it has a reverse-signal alarm audible above the surrounding noise, or it is backed only when an observer signals it is safe.</w:t>
      </w:r>
    </w:p>
    <w:p>
      <w:pPr>
        <w:pStyle w:val="ListParagraph"/>
        <w:numPr>
          <w:ilvl w:val="0"/>
          <w:numId w:val="2"/>
        </w:numPr>
        <w:spacing w:after="60" w:line="268"/>
        <w:jc w:val="both"/>
      </w:pPr>
      <w:r>
        <w:rPr>
          <w:rFonts w:ascii="Tahoma" w:cs="Tahoma" w:eastAsia="Tahoma" w:hAnsi="Tahoma"/>
          <w:sz w:val="20"/>
          <w:szCs w:val="20"/>
        </w:rPr>
        <w:t xml:space="preserve">The observer shall be in direct line of sight or able to communicate with the driver, able to see the entire backing zone, and shall continue to direct the driver until the vehicle stops or no personnel remain in the backing zone.</w:t>
      </w:r>
    </w:p>
    <w:p>
      <w:pPr>
        <w:pStyle w:val="Heading1"/>
      </w:pPr>
      <w:r>
        <w:t xml:space="preserve">8. Equipment Provisions</w:t>
      </w:r>
    </w:p>
    <w:p>
      <w:pPr>
        <w:pStyle w:val="ListParagraph"/>
        <w:numPr>
          <w:ilvl w:val="0"/>
          <w:numId w:val="2"/>
        </w:numPr>
        <w:spacing w:after="60" w:line="268"/>
        <w:jc w:val="both"/>
      </w:pPr>
      <w:r>
        <w:rPr>
          <w:rFonts w:ascii="Tahoma" w:cs="Tahoma" w:eastAsia="Tahoma" w:hAnsi="Tahoma"/>
          <w:sz w:val="20"/>
          <w:szCs w:val="20"/>
        </w:rPr>
        <w:t xml:space="preserve">All mobile equipment shall carry fire extinguishers in accordance with the Fire Protection and Prevention chapter.</w:t>
      </w:r>
    </w:p>
    <w:p>
      <w:pPr>
        <w:pStyle w:val="ListParagraph"/>
        <w:numPr>
          <w:ilvl w:val="0"/>
          <w:numId w:val="2"/>
        </w:numPr>
        <w:spacing w:after="60" w:line="268"/>
        <w:jc w:val="both"/>
      </w:pPr>
      <w:r>
        <w:rPr>
          <w:rFonts w:ascii="Tahoma" w:cs="Tahoma" w:eastAsia="Tahoma" w:hAnsi="Tahoma"/>
          <w:sz w:val="20"/>
          <w:szCs w:val="20"/>
        </w:rPr>
        <w:t xml:space="preserve">Trucks/vehicle combinations on public roads, buses, man-haul vehicles and vehicles carrying flammables, explosives or hazardous materials shall carry, as a minimum: one red flag not less than 12 in² (30.4 cm²) and three reflective markers for emergency stops, and two wheel chocks per vehicle/unit.</w:t>
      </w:r>
    </w:p>
    <w:p>
      <w:pPr>
        <w:pStyle w:val="ListParagraph"/>
        <w:numPr>
          <w:ilvl w:val="0"/>
          <w:numId w:val="2"/>
        </w:numPr>
        <w:spacing w:after="60" w:line="268"/>
        <w:jc w:val="both"/>
      </w:pPr>
      <w:r>
        <w:rPr>
          <w:rFonts w:ascii="Tahoma" w:cs="Tahoma" w:eastAsia="Tahoma" w:hAnsi="Tahoma"/>
          <w:sz w:val="20"/>
          <w:szCs w:val="20"/>
        </w:rPr>
        <w:t xml:space="preserve">All rubber-tired equipment shall have fenders (or mud flaps where not designed for fenders); on-highway equipment shall have service, parking and emergency braking systems conforming to KSA regulations; self-propelled and truck cranes/excavators on rubber-tired chassis shall have service, secondary stopping and parking brake systems.</w:t>
      </w:r>
    </w:p>
    <w:p>
      <w:pPr>
        <w:pStyle w:val="Heading1"/>
      </w:pPr>
      <w:r>
        <w:t xml:space="preserve">9. Barricades and Accidents</w:t>
      </w:r>
    </w:p>
    <w:p>
      <w:pPr>
        <w:pStyle w:val="ListParagraph"/>
        <w:numPr>
          <w:ilvl w:val="0"/>
          <w:numId w:val="2"/>
        </w:numPr>
        <w:spacing w:after="60" w:line="268"/>
        <w:jc w:val="both"/>
      </w:pPr>
      <w:r>
        <w:rPr>
          <w:rFonts w:ascii="Tahoma" w:cs="Tahoma" w:eastAsia="Tahoma" w:hAnsi="Tahoma"/>
          <w:sz w:val="20"/>
          <w:szCs w:val="20"/>
        </w:rPr>
        <w:t xml:space="preserve">The Competent Person erects barricades around heavy-equipment work to prevent unauthorised entry in accordance with the Signage, Barrication and Traffic Control chapter; a "ROAD CLOSED" sign means the road is closed to all unauthorised traffic.</w:t>
      </w:r>
    </w:p>
    <w:p>
      <w:pPr>
        <w:pStyle w:val="ListParagraph"/>
        <w:numPr>
          <w:ilvl w:val="0"/>
          <w:numId w:val="2"/>
        </w:numPr>
        <w:spacing w:after="60" w:line="268"/>
        <w:jc w:val="both"/>
      </w:pPr>
      <w:r>
        <w:rPr>
          <w:rFonts w:ascii="Tahoma" w:cs="Tahoma" w:eastAsia="Tahoma" w:hAnsi="Tahoma"/>
          <w:sz w:val="20"/>
          <w:szCs w:val="20"/>
        </w:rPr>
        <w:t xml:space="preserve">All accidents involving DAN- or contractor-owned, leased or rented vehicles/equipment — on or off the jobsite — shall be investigated and reported on the DAN online reporting system; operators are responsible for reporting accidents to Supervisors.</w:t>
      </w:r>
    </w:p>
    <w:p>
      <w:pPr>
        <w:pStyle w:val="ListParagraph"/>
        <w:numPr>
          <w:ilvl w:val="0"/>
          <w:numId w:val="2"/>
        </w:numPr>
        <w:spacing w:after="60" w:line="268"/>
        <w:jc w:val="both"/>
      </w:pPr>
      <w:r>
        <w:rPr>
          <w:rFonts w:ascii="Tahoma" w:cs="Tahoma" w:eastAsia="Tahoma" w:hAnsi="Tahoma"/>
          <w:sz w:val="20"/>
          <w:szCs w:val="20"/>
        </w:rPr>
        <w:t xml:space="preserve">A vehicle or equipment involved in an accident shall not be used until inspected and approved for service by a qualified mechanic; reports required by KSA law are mandatory, and where authorities investigate, a copy of the report shall be obtained and forwarded with the insurance report to the SH&amp;E Manager.</w:t>
      </w:r>
    </w:p>
    <w:p>
      <w:pPr>
        <w:pStyle w:val="Heading1"/>
      </w:pPr>
      <w:r>
        <w:t xml:space="preserve">10. Inspections</w:t>
      </w:r>
    </w:p>
    <w:p>
      <w:pPr>
        <w:keepNext/>
        <w:spacing w:after="80" w:before="160"/>
      </w:pPr>
      <w:r>
        <w:rPr>
          <w:rFonts w:ascii="Tahoma" w:cs="Tahoma" w:eastAsia="Tahoma" w:hAnsi="Tahoma"/>
          <w:b/>
          <w:bCs/>
          <w:color w:val="B5692B"/>
          <w:sz w:val="20"/>
          <w:szCs w:val="20"/>
        </w:rPr>
        <w:t xml:space="preserve">10.1  Initial Inspection</w:t>
      </w:r>
    </w:p>
    <w:p>
      <w:pPr>
        <w:pStyle w:val="ListParagraph"/>
        <w:numPr>
          <w:ilvl w:val="0"/>
          <w:numId w:val="2"/>
        </w:numPr>
        <w:spacing w:after="60" w:line="268"/>
        <w:jc w:val="both"/>
      </w:pPr>
      <w:r>
        <w:rPr>
          <w:rFonts w:ascii="Tahoma" w:cs="Tahoma" w:eastAsia="Tahoma" w:hAnsi="Tahoma"/>
          <w:sz w:val="20"/>
          <w:szCs w:val="20"/>
        </w:rPr>
        <w:t xml:space="preserve">Before mobile equipment is put into service it shall be performance-inspected by a competent operator or qualified personnel to ensure it is safe and meets original design specifications; nonconforming equipment shall be removed from service until repaired and re-inspected. Equipment shall never be placed in use merely because it is urgently needed.</w:t>
      </w:r>
    </w:p>
    <w:p>
      <w:pPr>
        <w:keepNext/>
        <w:spacing w:after="80" w:before="160"/>
      </w:pPr>
      <w:r>
        <w:rPr>
          <w:rFonts w:ascii="Tahoma" w:cs="Tahoma" w:eastAsia="Tahoma" w:hAnsi="Tahoma"/>
          <w:b/>
          <w:bCs/>
          <w:color w:val="B5692B"/>
          <w:sz w:val="20"/>
          <w:szCs w:val="20"/>
        </w:rPr>
        <w:t xml:space="preserve">10.2  Daily Inspection</w:t>
      </w:r>
    </w:p>
    <w:p>
      <w:pPr>
        <w:spacing w:after="120" w:line="276"/>
        <w:jc w:val="both"/>
      </w:pPr>
      <w:r>
        <w:rPr>
          <w:rFonts w:ascii="Tahoma" w:cs="Tahoma" w:eastAsia="Tahoma" w:hAnsi="Tahoma"/>
          <w:sz w:val="20"/>
          <w:szCs w:val="20"/>
        </w:rPr>
        <w:t xml:space="preserve">Equipment in service shall be inspected at the beginning of each shift by a competent operator or qualified personnel using the Daily Equipment Safety Inspection Checklist. The unit shall not be placed in service unless the following are in safe operating condition:</w:t>
      </w:r>
    </w:p>
    <w:p>
      <w:pPr>
        <w:pStyle w:val="ListParagraph"/>
        <w:numPr>
          <w:ilvl w:val="0"/>
          <w:numId w:val="3"/>
        </w:numPr>
        <w:spacing w:after="40" w:line="264"/>
      </w:pPr>
      <w:r>
        <w:rPr>
          <w:rFonts w:ascii="Tahoma" w:cs="Tahoma" w:eastAsia="Tahoma" w:hAnsi="Tahoma"/>
          <w:sz w:val="18"/>
          <w:szCs w:val="18"/>
        </w:rPr>
        <w:t xml:space="preserve">Coupling devices; emergency brake; service brake; parking system (hand brake)</w:t>
      </w:r>
    </w:p>
    <w:p>
      <w:pPr>
        <w:pStyle w:val="ListParagraph"/>
        <w:numPr>
          <w:ilvl w:val="0"/>
          <w:numId w:val="3"/>
        </w:numPr>
        <w:spacing w:after="40" w:line="264"/>
      </w:pPr>
      <w:r>
        <w:rPr>
          <w:rFonts w:ascii="Tahoma" w:cs="Tahoma" w:eastAsia="Tahoma" w:hAnsi="Tahoma"/>
          <w:sz w:val="18"/>
          <w:szCs w:val="18"/>
        </w:rPr>
        <w:t xml:space="preserve">Horn; operating controls; safety devices; steering mechanism</w:t>
      </w:r>
    </w:p>
    <w:p>
      <w:pPr>
        <w:pStyle w:val="ListParagraph"/>
        <w:numPr>
          <w:ilvl w:val="0"/>
          <w:numId w:val="3"/>
        </w:numPr>
        <w:spacing w:after="40" w:line="264"/>
      </w:pPr>
      <w:r>
        <w:rPr>
          <w:rFonts w:ascii="Tahoma" w:cs="Tahoma" w:eastAsia="Tahoma" w:hAnsi="Tahoma"/>
          <w:sz w:val="18"/>
          <w:szCs w:val="18"/>
        </w:rPr>
        <w:t xml:space="preserve">Seat belts; tires; trailer brake connections</w:t>
      </w:r>
    </w:p>
    <w:p>
      <w:pPr>
        <w:spacing w:after="120" w:line="276"/>
        <w:jc w:val="both"/>
      </w:pPr>
      <w:r>
        <w:rPr>
          <w:rFonts w:ascii="Tahoma" w:cs="Tahoma" w:eastAsia="Tahoma" w:hAnsi="Tahoma"/>
          <w:sz w:val="20"/>
          <w:szCs w:val="20"/>
        </w:rPr>
        <w:t xml:space="preserve">The Supervisor maintains all inspection records and furnishes copies to the SH&amp;E Representative before the equipment is used.</w:t>
      </w:r>
    </w:p>
    <w:p>
      <w:pPr>
        <w:pStyle w:val="Heading1"/>
      </w:pPr>
      <w:r>
        <w:t xml:space="preserve">11. Maintenance</w:t>
      </w:r>
    </w:p>
    <w:p>
      <w:pPr>
        <w:pStyle w:val="ListParagraph"/>
        <w:numPr>
          <w:ilvl w:val="0"/>
          <w:numId w:val="2"/>
        </w:numPr>
        <w:spacing w:after="60" w:line="268"/>
        <w:jc w:val="both"/>
      </w:pPr>
      <w:r>
        <w:rPr>
          <w:rFonts w:ascii="Tahoma" w:cs="Tahoma" w:eastAsia="Tahoma" w:hAnsi="Tahoma"/>
          <w:sz w:val="20"/>
          <w:szCs w:val="20"/>
        </w:rPr>
        <w:t xml:space="preserve">When an unsafe condition is detected, remove the equipment from service and tag it "OUT OF SERVICE"; do not return it to service until repaired.</w:t>
      </w:r>
    </w:p>
    <w:p>
      <w:pPr>
        <w:pStyle w:val="ListParagraph"/>
        <w:numPr>
          <w:ilvl w:val="0"/>
          <w:numId w:val="2"/>
        </w:numPr>
        <w:spacing w:after="60" w:line="268"/>
        <w:jc w:val="both"/>
      </w:pPr>
      <w:r>
        <w:rPr>
          <w:rFonts w:ascii="Tahoma" w:cs="Tahoma" w:eastAsia="Tahoma" w:hAnsi="Tahoma"/>
          <w:sz w:val="20"/>
          <w:szCs w:val="20"/>
        </w:rPr>
        <w:t xml:space="preserve">Unless operation is essential to making the repair, shut down and render equipment inoperative while repairs or adjustments are made; ensure controllers are OFF and the main/emergency switch is open, locked and tagged.</w:t>
      </w:r>
    </w:p>
    <w:p>
      <w:pPr>
        <w:pStyle w:val="ListParagraph"/>
        <w:numPr>
          <w:ilvl w:val="0"/>
          <w:numId w:val="2"/>
        </w:numPr>
        <w:spacing w:after="60" w:line="268"/>
        <w:jc w:val="both"/>
      </w:pPr>
      <w:r>
        <w:rPr>
          <w:rFonts w:ascii="Tahoma" w:cs="Tahoma" w:eastAsia="Tahoma" w:hAnsi="Tahoma"/>
          <w:sz w:val="20"/>
          <w:szCs w:val="20"/>
        </w:rPr>
        <w:t xml:space="preserve">A preventive-maintenance program shall be established based on manufacturer recommendations; personnel servicing split rims shall be trained, and a safety tire rack, cage or equivalent shall be used when inflating, mounting or dismounting tires on split rims or locking-ring rims (welding/heating of rims is prohibited).</w:t>
      </w:r>
    </w:p>
    <w:p>
      <w:pPr>
        <w:pStyle w:val="ListParagraph"/>
        <w:numPr>
          <w:ilvl w:val="0"/>
          <w:numId w:val="2"/>
        </w:numPr>
        <w:spacing w:after="60" w:line="268"/>
        <w:jc w:val="both"/>
      </w:pPr>
      <w:r>
        <w:rPr>
          <w:rFonts w:ascii="Tahoma" w:cs="Tahoma" w:eastAsia="Tahoma" w:hAnsi="Tahoma"/>
          <w:sz w:val="20"/>
          <w:szCs w:val="20"/>
        </w:rPr>
        <w:t xml:space="preserve">Equipment suspended or held aloft by cables, cylinders, slings, ropes, hoists or jacks shall be blocked, cribbed or lowered to a supporting surface before personnel work in, under or between it.</w:t>
      </w:r>
    </w:p>
    <w:p>
      <w:pPr>
        <w:pStyle w:val="ListParagraph"/>
        <w:numPr>
          <w:ilvl w:val="0"/>
          <w:numId w:val="2"/>
        </w:numPr>
        <w:spacing w:after="60" w:line="268"/>
        <w:jc w:val="both"/>
      </w:pPr>
      <w:r>
        <w:rPr>
          <w:rFonts w:ascii="Tahoma" w:cs="Tahoma" w:eastAsia="Tahoma" w:hAnsi="Tahoma"/>
          <w:sz w:val="20"/>
          <w:szCs w:val="20"/>
        </w:rPr>
        <w:t xml:space="preserve">Before returning equipment to service, confirm nonessential items are removed and components are intact, confirm personnel are clear, and perform pre-operational start-up checks; the Maintenance department records all periodic maintenance and repairs and furnishes copies to the SH&amp;E Representative.</w:t>
      </w:r>
    </w:p>
    <w:p>
      <w:pPr>
        <w:pStyle w:val="Heading1"/>
      </w:pPr>
      <w:r>
        <w:t xml:space="preserve">12. Training</w:t>
      </w:r>
    </w:p>
    <w:p>
      <w:pPr>
        <w:spacing w:after="120" w:line="276"/>
        <w:jc w:val="both"/>
      </w:pPr>
      <w:r>
        <w:rPr>
          <w:rFonts w:ascii="Tahoma" w:cs="Tahoma" w:eastAsia="Tahoma" w:hAnsi="Tahoma"/>
          <w:sz w:val="20"/>
          <w:szCs w:val="20"/>
        </w:rPr>
        <w:t xml:space="preserve">The Contractor shall train personnel in the requirements for operating motor vehicles. The SH&amp;E Representative arranges training at initial assignment, and Supervisors identify additional needs during 2-week look-ahead planning. Only qualified, designated operators may operate off-highway equipment; every newly hired operator shall be individually checked out by an experienced operator or supervisor to confirm he can operate the equipment safely.</w:t>
      </w:r>
    </w:p>
    <w:p>
      <w:pPr>
        <w:keepNext/>
        <w:spacing w:after="80" w:before="160"/>
      </w:pPr>
      <w:r>
        <w:rPr>
          <w:rFonts w:ascii="Tahoma" w:cs="Tahoma" w:eastAsia="Tahoma" w:hAnsi="Tahoma"/>
          <w:b/>
          <w:bCs/>
          <w:color w:val="B5692B"/>
          <w:sz w:val="20"/>
          <w:szCs w:val="20"/>
        </w:rPr>
        <w:t xml:space="preserve">12.1  Industrial Truck Operator Certification</w:t>
      </w:r>
    </w:p>
    <w:p>
      <w:pPr>
        <w:spacing w:after="120" w:line="276"/>
        <w:jc w:val="both"/>
      </w:pPr>
      <w:r>
        <w:rPr>
          <w:rFonts w:ascii="Tahoma" w:cs="Tahoma" w:eastAsia="Tahoma" w:hAnsi="Tahoma"/>
          <w:sz w:val="20"/>
          <w:szCs w:val="20"/>
        </w:rPr>
        <w:t xml:space="preserve">Trainees may operate a powered industrial truck only under direct supervision of a qualified trainer and where operation does not endanger anyone. All operators shall be trained and certified for the type of truck used, through a four-part program: training orientation (inspection, operation, safety and site-specific hazards); written testing; "touch-and-tell" inspection; and performance testing (manoeuvring, stacking/un-stacking, driving with a load, controls). Training also covers workplace-related topics — surface conditions, load composition and stability, load manipulation, pedestrian traffic, narrow aisles, classified (hazardous) locations, ramps/slopes, closed environments with possible CO/diesel build-up, and other unique hazards.</w:t>
      </w:r>
    </w:p>
    <w:p>
      <w:pPr>
        <w:keepNext/>
        <w:spacing w:after="80" w:before="160"/>
      </w:pPr>
      <w:r>
        <w:rPr>
          <w:rFonts w:ascii="Tahoma" w:cs="Tahoma" w:eastAsia="Tahoma" w:hAnsi="Tahoma"/>
          <w:b/>
          <w:bCs/>
          <w:color w:val="B5692B"/>
          <w:sz w:val="20"/>
          <w:szCs w:val="20"/>
        </w:rPr>
        <w:t xml:space="preserve">12.2  Retraining</w:t>
      </w:r>
    </w:p>
    <w:p>
      <w:pPr>
        <w:pStyle w:val="ListParagraph"/>
        <w:numPr>
          <w:ilvl w:val="0"/>
          <w:numId w:val="2"/>
        </w:numPr>
        <w:spacing w:after="60" w:line="268"/>
        <w:jc w:val="both"/>
      </w:pPr>
      <w:r>
        <w:rPr>
          <w:rFonts w:ascii="Tahoma" w:cs="Tahoma" w:eastAsia="Tahoma" w:hAnsi="Tahoma"/>
          <w:sz w:val="20"/>
          <w:szCs w:val="20"/>
        </w:rPr>
        <w:t xml:space="preserve">Refresher training shall be provided where an operator is observed operating unsafely, is involved in an accident or near-miss, receives an evaluation revealing unsafe operation, is assigned a different type of equipment, or where workplace conditions change in a way that could affect safe operation.</w:t>
      </w:r>
    </w:p>
    <w:p>
      <w:pPr>
        <w:pStyle w:val="ListParagraph"/>
        <w:numPr>
          <w:ilvl w:val="0"/>
          <w:numId w:val="2"/>
        </w:numPr>
        <w:spacing w:after="60" w:line="268"/>
        <w:jc w:val="both"/>
      </w:pPr>
      <w:r>
        <w:rPr>
          <w:rFonts w:ascii="Tahoma" w:cs="Tahoma" w:eastAsia="Tahoma" w:hAnsi="Tahoma"/>
          <w:sz w:val="20"/>
          <w:szCs w:val="20"/>
        </w:rPr>
        <w:t xml:space="preserve">Each industrial-truck operator's performance shall be evaluated at least once every 3 years; the Records Custodian maintains a record of all training using an acceptable training form.</w:t>
      </w:r>
    </w:p>
    <w:p>
      <w:pPr>
        <w:pStyle w:val="Heading1"/>
      </w:pPr>
      <w:r>
        <w:t xml:space="preserve">13. Documentation</w:t>
      </w:r>
    </w:p>
    <w:p>
      <w:pPr>
        <w:spacing w:after="120" w:line="276"/>
        <w:jc w:val="both"/>
      </w:pPr>
      <w:r>
        <w:rPr>
          <w:rFonts w:ascii="Tahoma" w:cs="Tahoma" w:eastAsia="Tahoma" w:hAnsi="Tahoma"/>
          <w:sz w:val="20"/>
          <w:szCs w:val="20"/>
        </w:rPr>
        <w:t xml:space="preserve">The Records Custodian documents all instruction, training and retraining; training-completion records are kept in each individual's training file. Every piece of equipment shall carry, in the cab whenever operated, a copy of the manufacturer's operating manual and the load-rating chart (make, model, serial number, year of manufacture, and load ratings for all operating configurations including optional equipment). The SH&amp;E Representative maintains records on-site for the duration of the project and archives them at project close.</w:t>
      </w:r>
    </w:p>
    <w:p>
      <w:pPr>
        <w:pStyle w:val="Heading1"/>
      </w:pPr>
      <w:r>
        <w:t xml:space="preserve">14. Related Documents</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Signage, Barrication and Traffic Control</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Motor Vehicles and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01-DAN-PRC-HSE-000035-MVEQ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Vehicles and Equipment</dc:title>
  <dc:creator>DAN HSSE Management System</dc:creator>
  <cp:lastModifiedBy>Un-named</cp:lastModifiedBy>
  <cp:revision>1</cp:revision>
  <dcterms:created xsi:type="dcterms:W3CDTF">2026-06-27T21:52:28.095Z</dcterms:created>
  <dcterms:modified xsi:type="dcterms:W3CDTF">2026-06-27T21:52:28.095Z</dcterms:modified>
</cp:coreProperties>
</file>

<file path=docProps/custom.xml><?xml version="1.0" encoding="utf-8"?>
<Properties xmlns="http://schemas.openxmlformats.org/officeDocument/2006/custom-properties" xmlns:vt="http://schemas.openxmlformats.org/officeDocument/2006/docPropsVTypes"/>
</file>