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Risk Management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01-000001-000000-DAN-PRC-HSE-000006-RSKMNG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processes for identifying safety, health and environmental hazards, conducting risk assessments, and developing risk controls for the management of identified hazards, in order to minimise undesirable incidents, damage and losses. (Per ISO 45001, a hazard is a “source or situation with a potential to cause injury and ill health.”)</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projects and to all CONTRACTOR activities. Risk assessments are the responsibility of the task owner, are reviewed by the SH&amp;E Representative, and are approved by the Project Manager.</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ISO 31000 — Risk Management</w:t>
      </w:r>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source or situation with the potential to cause injury or ill health (ISO 45001).</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the score derived from severity × probability.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risk remaining after mitigation controls have been applied.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SH&amp;E Risk Register holding the outputs of the risk-management process.</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SH&amp;E Risk Management Procedures</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task owner drives the risk-management process, the SH&amp;E Representative reviews, and the Project Manager approves the risk assessment.</w:t>
      </w:r>
    </w:p>
    <w:p>
      <w:pPr>
        <w:pStyle w:val="Heading1"/>
      </w:pPr>
      <w:r>
        <w:t xml:space="preserve">6. Risk Management Process</w:t>
      </w:r>
    </w:p>
    <w:p>
      <w:pPr>
        <w:spacing w:after="120" w:line="276"/>
        <w:jc w:val="both"/>
      </w:pPr>
      <w:r>
        <w:rPr>
          <w:rFonts w:ascii="Tahoma" w:cs="Tahoma" w:eastAsia="Tahoma" w:hAnsi="Tahoma"/>
          <w:sz w:val="20"/>
          <w:szCs w:val="20"/>
        </w:rPr>
        <w:t xml:space="preserve">Risk management is a systematic five-step process: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Hazard Identification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Risk Assessment and Evaluation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Risk Management and Control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Communication of Risk Management Controls</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Monitor and Review</w:t>
      </w:r>
    </w:p>
    <w:p>
      <w:pPr>
        <w:pStyle w:val="Heading2"/>
      </w:pPr>
      <w:r>
        <w:t xml:space="preserve">6.1 Step 1 — Hazard Identification</w:t>
      </w:r>
    </w:p>
    <w:p>
      <w:pPr>
        <w:spacing w:after="120" w:line="276"/>
        <w:jc w:val="both"/>
      </w:pPr>
      <w:r>
        <w:rPr>
          <w:rFonts w:ascii="Tahoma" w:cs="Tahoma" w:eastAsia="Tahoma" w:hAnsi="Tahoma"/>
          <w:sz w:val="20"/>
          <w:szCs w:val="20"/>
        </w:rPr>
        <w:t xml:space="preserve">Hazard identification shall be undertaken at bid phase (preliminary), at project start-up/mobilisation before work begins, as part of change management and incident-investigation close-outs, on the introduction of new personnel, when a new risk is identified, when legislation or regulations change, and when required by contract. Methods include:</w:t>
      </w:r>
    </w:p>
    <w:p>
      <w:pPr>
        <w:pStyle w:val="ListParagraph"/>
        <w:numPr>
          <w:ilvl w:val="0"/>
          <w:numId w:val="2"/>
        </w:numPr>
        <w:spacing w:after="60" w:line="268"/>
        <w:jc w:val="both"/>
      </w:pPr>
      <w:r>
        <w:rPr>
          <w:rFonts w:ascii="Tahoma" w:cs="Tahoma" w:eastAsia="Tahoma" w:hAnsi="Tahoma"/>
          <w:sz w:val="20"/>
          <w:szCs w:val="20"/>
        </w:rPr>
        <w:t xml:space="preserve">Inspecting and assessing the workplace for what could reasonably cause harm (work activities, plant and machinery, known hazards);</w:t>
      </w:r>
    </w:p>
    <w:p>
      <w:pPr>
        <w:pStyle w:val="ListParagraph"/>
        <w:numPr>
          <w:ilvl w:val="0"/>
          <w:numId w:val="2"/>
        </w:numPr>
        <w:spacing w:after="60" w:line="268"/>
        <w:jc w:val="both"/>
      </w:pPr>
      <w:r>
        <w:rPr>
          <w:rFonts w:ascii="Tahoma" w:cs="Tahoma" w:eastAsia="Tahoma" w:hAnsi="Tahoma"/>
          <w:sz w:val="20"/>
          <w:szCs w:val="20"/>
        </w:rPr>
        <w:t xml:space="preserve">Reviewing existing incident reports and near misses and their corrective-action plans;</w:t>
      </w:r>
    </w:p>
    <w:p>
      <w:pPr>
        <w:pStyle w:val="ListParagraph"/>
        <w:numPr>
          <w:ilvl w:val="0"/>
          <w:numId w:val="2"/>
        </w:numPr>
        <w:spacing w:after="60" w:line="268"/>
        <w:jc w:val="both"/>
      </w:pPr>
      <w:r>
        <w:rPr>
          <w:rFonts w:ascii="Tahoma" w:cs="Tahoma" w:eastAsia="Tahoma" w:hAnsi="Tahoma"/>
          <w:sz w:val="20"/>
          <w:szCs w:val="20"/>
        </w:rPr>
        <w:t xml:space="preserve">Conducting a risk/hazard workshop and consulting management, personnel and stakeholders;</w:t>
      </w:r>
    </w:p>
    <w:p>
      <w:pPr>
        <w:pStyle w:val="ListParagraph"/>
        <w:numPr>
          <w:ilvl w:val="0"/>
          <w:numId w:val="2"/>
        </w:numPr>
        <w:spacing w:after="60" w:line="268"/>
        <w:jc w:val="both"/>
      </w:pPr>
      <w:r>
        <w:rPr>
          <w:rFonts w:ascii="Tahoma" w:cs="Tahoma" w:eastAsia="Tahoma" w:hAnsi="Tahoma"/>
          <w:sz w:val="20"/>
          <w:szCs w:val="20"/>
        </w:rPr>
        <w:t xml:space="preserve">Legal and regulatory reviews and practical guidance on where hazards occur;</w:t>
      </w:r>
    </w:p>
    <w:p>
      <w:pPr>
        <w:pStyle w:val="ListParagraph"/>
        <w:numPr>
          <w:ilvl w:val="0"/>
          <w:numId w:val="2"/>
        </w:numPr>
        <w:spacing w:after="60" w:line="268"/>
        <w:jc w:val="both"/>
      </w:pPr>
      <w:r>
        <w:rPr>
          <w:rFonts w:ascii="Tahoma" w:cs="Tahoma" w:eastAsia="Tahoma" w:hAnsi="Tahoma"/>
          <w:sz w:val="20"/>
          <w:szCs w:val="20"/>
        </w:rPr>
        <w:t xml:space="preserve">Checking manufacturers’ instructions, equipment manuals and chemical data sheets.</w:t>
      </w:r>
    </w:p>
    <w:p>
      <w:pPr>
        <w:spacing w:after="120" w:line="276"/>
        <w:jc w:val="both"/>
      </w:pPr>
      <w:r>
        <w:rPr>
          <w:rFonts w:ascii="Tahoma" w:cs="Tahoma" w:eastAsia="Tahoma" w:hAnsi="Tahoma"/>
          <w:sz w:val="20"/>
          <w:szCs w:val="20"/>
        </w:rPr>
        <w:t xml:space="preserve">For each identified hazard, determine who may be harmed, how many people could be affected, what would cause the event, what injury, ill health or damage would occur, and when it is most likely to happen. Update the SH&amp;E Risk Register with a clear, concise description of who/what is at risk and the consequence of the risk occurring.</w:t>
      </w:r>
    </w:p>
    <w:p>
      <w:pPr>
        <w:pStyle w:val="Heading2"/>
      </w:pPr>
      <w:r>
        <w:t xml:space="preserve">6.2 Step 2 — Risk Assessment and Evaluation</w:t>
      </w:r>
    </w:p>
    <w:p>
      <w:pPr>
        <w:spacing w:after="120" w:line="276"/>
        <w:jc w:val="both"/>
      </w:pPr>
      <w:r>
        <w:rPr>
          <w:rFonts w:ascii="Tahoma" w:cs="Tahoma" w:eastAsia="Tahoma" w:hAnsi="Tahoma"/>
          <w:sz w:val="20"/>
          <w:szCs w:val="20"/>
        </w:rPr>
        <w:t xml:space="preserve">Understand each identified hazard, then determine the level of severity and the probability of occurrence to evaluate the overall risk by calculating the Risk Score. A severity level (insignificant to catastrophic) is assigned to each risk and approved by the CONTRACTOR; the probability is the likelihood of the outcome occurring. Use the Risk Assessment Matrix below to determine the Risk Score.</w:t>
      </w:r>
    </w:p>
    <w:p>
      <w:pPr>
        <w:keepNext/>
        <w:spacing w:after="80" w:before="160"/>
      </w:pPr>
      <w:r>
        <w:rPr>
          <w:rFonts w:ascii="Tahoma" w:cs="Tahoma" w:eastAsia="Tahoma" w:hAnsi="Tahoma"/>
          <w:b/>
          <w:bCs/>
          <w:color w:val="B5692B"/>
          <w:sz w:val="20"/>
          <w:szCs w:val="20"/>
        </w:rPr>
        <w:t xml:space="preserve">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Probability  ↓  /  Severity  →</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Insignificant (1)</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Minor (2)</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Moderate (3)</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Major (4)</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Substantial (5)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Frequent (5)</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Often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(16)</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Likely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(9)</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Possible (2)</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Rare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r>
    </w:tbl>
    <w:p>
      <w:pPr>
        <w:keepNext/>
        <w:spacing w:after="80" w:before="160"/>
      </w:pPr>
      <w:r>
        <w:rPr>
          <w:rFonts w:ascii="Tahoma" w:cs="Tahoma" w:eastAsia="Tahoma" w:hAnsi="Tahoma"/>
          <w:b/>
          <w:bCs/>
          <w:color w:val="B5692B"/>
          <w:sz w:val="20"/>
          <w:szCs w:val="20"/>
        </w:rPr>
        <w:t xml:space="preserve">Risk Action by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Risk Score</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RAC</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Action</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17 – 25</w:t>
            </w:r>
          </w:p>
        </w:tc>
        <w:tc>
          <w:tcPr>
            <w:tcW w:type="dxa" w:w="17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Critical</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activity is PROHIBITED unless approval is received from DAN Management.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13 – 16</w:t>
            </w:r>
          </w:p>
        </w:tc>
        <w:tc>
          <w:tcPr>
            <w:tcW w:type="dxa" w:w="17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High</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NOT proceed in its current form.</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10 – 12</w:t>
            </w:r>
          </w:p>
        </w:tc>
        <w:tc>
          <w:tcPr>
            <w:tcW w:type="dxa" w:w="17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Moderate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be modified to include corrective planning and action and be subject to a detailed SH&amp;E assessment.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6 – 9</w:t>
            </w:r>
          </w:p>
        </w:tc>
        <w:tc>
          <w:tcPr>
            <w:tcW w:type="dxa" w:w="17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may proceed subject to direct site supervision and/or modification. A new AHA must be developed in the field before commencing.</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3 – 5</w:t>
            </w:r>
          </w:p>
        </w:tc>
        <w:tc>
          <w:tcPr>
            <w:tcW w:type="dxa" w:w="170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Very 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 unless escalation of risk is possible.</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 – 2</w:t>
            </w:r>
          </w:p>
        </w:tc>
        <w:tc>
          <w:tcPr>
            <w:tcW w:type="dxa" w:w="170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Negligible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w:t>
            </w:r>
          </w:p>
        </w:tc>
      </w:tr>
    </w:tbl>
    <w:p>
      <w:pPr>
        <w:pStyle w:val="Heading2"/>
      </w:pPr>
      <w:r>
        <w:t xml:space="preserve">6.3 Step 3 — Risk Management and Control</w:t>
      </w:r>
    </w:p>
    <w:p>
      <w:pPr>
        <w:spacing w:after="120" w:line="276"/>
        <w:jc w:val="both"/>
      </w:pPr>
      <w:r>
        <w:rPr>
          <w:rFonts w:ascii="Tahoma" w:cs="Tahoma" w:eastAsia="Tahoma" w:hAnsi="Tahoma"/>
          <w:sz w:val="20"/>
          <w:szCs w:val="20"/>
        </w:rPr>
        <w:t xml:space="preserve">Use the risk level to determine whether mitigation is required; risk must be managed to an acceptable or ALARP level. After the Risk Score is determined, one or more of the following treatments is assigned:</w:t>
      </w:r>
    </w:p>
    <w:p>
      <w:pPr>
        <w:pStyle w:val="ListParagraph"/>
        <w:numPr>
          <w:ilvl w:val="0"/>
          <w:numId w:val="2"/>
        </w:numPr>
        <w:spacing w:after="60" w:line="268"/>
        <w:jc w:val="both"/>
      </w:pPr>
      <w:r>
        <w:rPr>
          <w:rFonts w:ascii="Tahoma" w:cs="Tahoma" w:eastAsia="Tahoma" w:hAnsi="Tahoma"/>
          <w:sz w:val="20"/>
          <w:szCs w:val="20"/>
        </w:rPr>
        <w:t xml:space="preserve">Accept — the risk is within the acceptable range (any remaining risk is retained/acceptable risk);</w:t>
      </w:r>
    </w:p>
    <w:p>
      <w:pPr>
        <w:pStyle w:val="ListParagraph"/>
        <w:numPr>
          <w:ilvl w:val="0"/>
          <w:numId w:val="2"/>
        </w:numPr>
        <w:spacing w:after="60" w:line="268"/>
        <w:jc w:val="both"/>
      </w:pPr>
      <w:r>
        <w:rPr>
          <w:rFonts w:ascii="Tahoma" w:cs="Tahoma" w:eastAsia="Tahoma" w:hAnsi="Tahoma"/>
          <w:sz w:val="20"/>
          <w:szCs w:val="20"/>
        </w:rPr>
        <w:t xml:space="preserve">Avoid — the activity does not proceed;</w:t>
      </w:r>
    </w:p>
    <w:p>
      <w:pPr>
        <w:pStyle w:val="ListParagraph"/>
        <w:numPr>
          <w:ilvl w:val="0"/>
          <w:numId w:val="2"/>
        </w:numPr>
        <w:spacing w:after="60" w:line="268"/>
        <w:jc w:val="both"/>
      </w:pPr>
      <w:r>
        <w:rPr>
          <w:rFonts w:ascii="Tahoma" w:cs="Tahoma" w:eastAsia="Tahoma" w:hAnsi="Tahoma"/>
          <w:sz w:val="20"/>
          <w:szCs w:val="20"/>
        </w:rPr>
        <w:t xml:space="preserve">Transfer — the risk is transferred in full or part to another party (e.g. a specialist);</w:t>
      </w:r>
    </w:p>
    <w:p>
      <w:pPr>
        <w:pStyle w:val="ListParagraph"/>
        <w:numPr>
          <w:ilvl w:val="0"/>
          <w:numId w:val="2"/>
        </w:numPr>
        <w:spacing w:after="60" w:line="268"/>
        <w:jc w:val="both"/>
      </w:pPr>
      <w:r>
        <w:rPr>
          <w:rFonts w:ascii="Tahoma" w:cs="Tahoma" w:eastAsia="Tahoma" w:hAnsi="Tahoma"/>
          <w:sz w:val="20"/>
          <w:szCs w:val="20"/>
        </w:rPr>
        <w:t xml:space="preserve">Reduce — reduce the risk to an acceptable level by managing severity, probability, or both.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higher Risk Score means more senior personnel may need to attend the Risk Mitigation Meeting (Programme Director or Project Manager, respective Field Leads, and the SH&amp;E Representative) to approve the proposed treatments before work continues.</w:t>
      </w:r>
    </w:p>
    <w:p>
      <w:pPr>
        <w:keepNext/>
        <w:spacing w:after="80" w:before="160"/>
      </w:pPr>
      <w:r>
        <w:rPr>
          <w:rFonts w:ascii="Tahoma" w:cs="Tahoma" w:eastAsia="Tahoma" w:hAnsi="Tahoma"/>
          <w:b/>
          <w:bCs/>
          <w:color w:val="B5692B"/>
          <w:sz w:val="20"/>
          <w:szCs w:val="20"/>
        </w:rPr>
        <w:t xml:space="preserve">Hierarchy of Controls (Safety)</w:t>
      </w:r>
    </w:p>
    <w:p>
      <w:pPr>
        <w:spacing w:after="120" w:line="276"/>
        <w:jc w:val="both"/>
      </w:pPr>
      <w:r>
        <w:rPr>
          <w:rFonts w:ascii="Tahoma" w:cs="Tahoma" w:eastAsia="Tahoma" w:hAnsi="Tahoma"/>
          <w:sz w:val="20"/>
          <w:szCs w:val="20"/>
        </w:rPr>
        <w:t xml:space="preserve">Apply the highest level of control commensurate with the risk. Elimination, substitution and engineering controls are permanent solutions not dependent on human compliance, and are preferred:</w:t>
      </w:r>
    </w:p>
    <w:p>
      <w:pPr>
        <w:pStyle w:val="ListParagraph"/>
        <w:numPr>
          <w:ilvl w:val="0"/>
          <w:numId w:val="2"/>
        </w:numPr>
        <w:spacing w:after="60" w:line="268"/>
        <w:jc w:val="both"/>
      </w:pPr>
      <w:r>
        <w:rPr>
          <w:rFonts w:ascii="Tahoma" w:cs="Tahoma" w:eastAsia="Tahoma" w:hAnsi="Tahoma"/>
          <w:sz w:val="20"/>
          <w:szCs w:val="20"/>
        </w:rPr>
        <w:t xml:space="preserve">Elimination — eliminate the activity or hazard (permanent, preferred);</w:t>
      </w:r>
    </w:p>
    <w:p>
      <w:pPr>
        <w:pStyle w:val="ListParagraph"/>
        <w:numPr>
          <w:ilvl w:val="0"/>
          <w:numId w:val="2"/>
        </w:numPr>
        <w:spacing w:after="60" w:line="268"/>
        <w:jc w:val="both"/>
      </w:pPr>
      <w:r>
        <w:rPr>
          <w:rFonts w:ascii="Tahoma" w:cs="Tahoma" w:eastAsia="Tahoma" w:hAnsi="Tahoma"/>
          <w:sz w:val="20"/>
          <w:szCs w:val="20"/>
        </w:rPr>
        <w:t xml:space="preserve">Substitution — replace the hazard source with a less hazardous solution;</w:t>
      </w:r>
    </w:p>
    <w:p>
      <w:pPr>
        <w:pStyle w:val="ListParagraph"/>
        <w:numPr>
          <w:ilvl w:val="0"/>
          <w:numId w:val="2"/>
        </w:numPr>
        <w:spacing w:after="60" w:line="268"/>
        <w:jc w:val="both"/>
      </w:pPr>
      <w:r>
        <w:rPr>
          <w:rFonts w:ascii="Tahoma" w:cs="Tahoma" w:eastAsia="Tahoma" w:hAnsi="Tahoma"/>
          <w:sz w:val="20"/>
          <w:szCs w:val="20"/>
        </w:rPr>
        <w:t xml:space="preserve">Engineering Controls — structural change, re-design or isolation to physically prevent or reduce exposure;</w:t>
      </w:r>
    </w:p>
    <w:p>
      <w:pPr>
        <w:pStyle w:val="ListParagraph"/>
        <w:numPr>
          <w:ilvl w:val="0"/>
          <w:numId w:val="2"/>
        </w:numPr>
        <w:spacing w:after="60" w:line="268"/>
        <w:jc w:val="both"/>
      </w:pPr>
      <w:r>
        <w:rPr>
          <w:rFonts w:ascii="Tahoma" w:cs="Tahoma" w:eastAsia="Tahoma" w:hAnsi="Tahoma"/>
          <w:sz w:val="20"/>
          <w:szCs w:val="20"/>
        </w:rPr>
        <w:t xml:space="preserve">Administrative Controls — job rotation, controlled entry, supervision, training, preventive maintenance, housekeeping, warning signs;</w:t>
      </w:r>
    </w:p>
    <w:p>
      <w:pPr>
        <w:pStyle w:val="ListParagraph"/>
        <w:numPr>
          <w:ilvl w:val="0"/>
          <w:numId w:val="2"/>
        </w:numPr>
        <w:spacing w:after="60" w:line="268"/>
        <w:jc w:val="both"/>
      </w:pPr>
      <w:r>
        <w:rPr>
          <w:rFonts w:ascii="Tahoma" w:cs="Tahoma" w:eastAsia="Tahoma" w:hAnsi="Tahoma"/>
          <w:sz w:val="20"/>
          <w:szCs w:val="20"/>
        </w:rPr>
        <w:t xml:space="preserve">Personal Protective Equipment (PPE) — last line of defence, dependent on correct selection and use.</w:t>
      </w:r>
    </w:p>
    <w:p>
      <w:pPr>
        <w:keepNext/>
        <w:spacing w:after="80" w:before="160"/>
      </w:pPr>
      <w:r>
        <w:rPr>
          <w:rFonts w:ascii="Tahoma" w:cs="Tahoma" w:eastAsia="Tahoma" w:hAnsi="Tahoma"/>
          <w:b/>
          <w:bCs/>
          <w:color w:val="B5692B"/>
          <w:sz w:val="20"/>
          <w:szCs w:val="20"/>
        </w:rPr>
        <w:t xml:space="preserve">Hierarchy of Controls (Environmental)</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Avoid</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Reduce</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Reuse</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Recycle</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Recover energy</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Treat</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Dispose (safely and sustainably)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provide proof of environmental and sustainability control compliance to the Sustainability Site Engineer and/or DAN Representative on request.</w:t>
      </w:r>
    </w:p>
    <w:p>
      <w:pPr>
        <w:keepNext/>
        <w:spacing w:after="80" w:before="160"/>
      </w:pPr>
      <w:r>
        <w:rPr>
          <w:rFonts w:ascii="Tahoma" w:cs="Tahoma" w:eastAsia="Tahoma" w:hAnsi="Tahoma"/>
          <w:b/>
          <w:bCs/>
          <w:color w:val="B5692B"/>
          <w:sz w:val="20"/>
          <w:szCs w:val="20"/>
        </w:rPr>
        <w:t xml:space="preserve">Residual Risk</w:t>
      </w:r>
    </w:p>
    <w:p>
      <w:pPr>
        <w:spacing w:after="120" w:line="276"/>
        <w:jc w:val="both"/>
      </w:pPr>
      <w:r>
        <w:rPr>
          <w:rFonts w:ascii="Tahoma" w:cs="Tahoma" w:eastAsia="Tahoma" w:hAnsi="Tahoma"/>
          <w:sz w:val="20"/>
          <w:szCs w:val="20"/>
        </w:rPr>
        <w:t xml:space="preserve">Reassess probability and severity once mitigations are determined, calculate the residual risk, and document it in the SH&amp;E Risk Register. Where residual risk is greater than MODERATE, perform a formal evaluation to reduce it to MODERATE or LOW; where greater than LOW, prepare a detailed Activity Hazard Analysis (AHA) and establish controls. It is the CONTRACTOR’s responsibility to verify the residual risk is ALARP or acceptable.</w:t>
      </w:r>
    </w:p>
    <w:p>
      <w:pPr>
        <w:pStyle w:val="Heading2"/>
      </w:pPr>
      <w:r>
        <w:t xml:space="preserve">6.4 Step 4 — Communication of Risk Management Controls</w:t>
      </w:r>
    </w:p>
    <w:p>
      <w:pPr>
        <w:spacing w:after="120" w:line="276"/>
        <w:jc w:val="both"/>
      </w:pPr>
      <w:r>
        <w:rPr>
          <w:rFonts w:ascii="Tahoma" w:cs="Tahoma" w:eastAsia="Tahoma" w:hAnsi="Tahoma"/>
          <w:sz w:val="20"/>
          <w:szCs w:val="20"/>
        </w:rPr>
        <w:t xml:space="preserve">Personnel identified as “at risk” shall be given suitable information and training to implement the controls. Disseminate control information through pre-mobilisation and toolbox meetings; specialty training shall be given by qualified trainers. At weekly progress meetings, all tasks shall be detailed and “Extreme” and “High-Risk” tasks acknowledged via the 2-Week Look-Ahead Planner, giving the Programme Director and SH&amp;E Representative time to evaluate the Risk Register and determine whether field AHAs are needed. Outcomes shall be communicated as procedures, standards, work instructions, AHAs, forms and job-safety briefings, and posted on-site.</w:t>
      </w:r>
    </w:p>
    <w:p>
      <w:pPr>
        <w:keepNext/>
        <w:spacing w:after="80" w:before="160"/>
      </w:pPr>
      <w:r>
        <w:rPr>
          <w:rFonts w:ascii="Tahoma" w:cs="Tahoma" w:eastAsia="Tahoma" w:hAnsi="Tahoma"/>
          <w:b/>
          <w:bCs/>
          <w:color w:val="B5692B"/>
          <w:sz w:val="20"/>
          <w:szCs w:val="20"/>
        </w:rPr>
        <w:t xml:space="preserve">Competent Person</w:t>
      </w:r>
    </w:p>
    <w:p>
      <w:pPr>
        <w:pStyle w:val="ListParagraph"/>
        <w:numPr>
          <w:ilvl w:val="0"/>
          <w:numId w:val="2"/>
        </w:numPr>
        <w:spacing w:after="60" w:line="268"/>
        <w:jc w:val="both"/>
      </w:pPr>
      <w:r>
        <w:rPr>
          <w:rFonts w:ascii="Tahoma" w:cs="Tahoma" w:eastAsia="Tahoma" w:hAnsi="Tahoma"/>
          <w:sz w:val="20"/>
          <w:szCs w:val="20"/>
        </w:rPr>
        <w:t xml:space="preserve">Risk assessments shall be carried out by a Competent Person and reviewed by the SH&amp;E Representative.</w:t>
      </w:r>
    </w:p>
    <w:p>
      <w:pPr>
        <w:pStyle w:val="ListParagraph"/>
        <w:numPr>
          <w:ilvl w:val="0"/>
          <w:numId w:val="2"/>
        </w:numPr>
        <w:spacing w:after="60" w:line="268"/>
        <w:jc w:val="both"/>
      </w:pPr>
      <w:r>
        <w:rPr>
          <w:rFonts w:ascii="Tahoma" w:cs="Tahoma" w:eastAsia="Tahoma" w:hAnsi="Tahoma"/>
          <w:sz w:val="20"/>
          <w:szCs w:val="20"/>
        </w:rPr>
        <w:t xml:space="preserve">The DAN Representative verifies competency via experience, industry certifications or professional-body membership; external subject-matter experts provide additional support where required.</w:t>
      </w:r>
    </w:p>
    <w:p>
      <w:pPr>
        <w:pStyle w:val="Heading2"/>
      </w:pPr>
      <w:r>
        <w:t xml:space="preserve">6.5 Step 5 — Monitor and Review</w:t>
      </w:r>
    </w:p>
    <w:p>
      <w:pPr>
        <w:spacing w:after="120" w:line="276"/>
        <w:jc w:val="both"/>
      </w:pPr>
      <w:r>
        <w:rPr>
          <w:rFonts w:ascii="Tahoma" w:cs="Tahoma" w:eastAsia="Tahoma" w:hAnsi="Tahoma"/>
          <w:sz w:val="20"/>
          <w:szCs w:val="20"/>
        </w:rPr>
        <w:t xml:space="preserve">The SH&amp;E Representative monitors the effectiveness of mitigations through observations/inspections, review of maintenance logs and discussions with personnel; field supervision records effectiveness via observation cards, checklists and daily reports, with monitoring records provided to the SH&amp;E Representative monthly. The risk level for a task shall be reviewed:</w:t>
      </w:r>
    </w:p>
    <w:p>
      <w:pPr>
        <w:pStyle w:val="ListParagraph"/>
        <w:numPr>
          <w:ilvl w:val="0"/>
          <w:numId w:val="2"/>
        </w:numPr>
        <w:spacing w:after="60" w:line="268"/>
        <w:jc w:val="both"/>
      </w:pPr>
      <w:r>
        <w:rPr>
          <w:rFonts w:ascii="Tahoma" w:cs="Tahoma" w:eastAsia="Tahoma" w:hAnsi="Tahoma"/>
          <w:sz w:val="20"/>
          <w:szCs w:val="20"/>
        </w:rPr>
        <w:t xml:space="preserve">Before the task commences and at its end;</w:t>
      </w:r>
    </w:p>
    <w:p>
      <w:pPr>
        <w:pStyle w:val="ListParagraph"/>
        <w:numPr>
          <w:ilvl w:val="0"/>
          <w:numId w:val="2"/>
        </w:numPr>
        <w:spacing w:after="60" w:line="268"/>
        <w:jc w:val="both"/>
      </w:pPr>
      <w:r>
        <w:rPr>
          <w:rFonts w:ascii="Tahoma" w:cs="Tahoma" w:eastAsia="Tahoma" w:hAnsi="Tahoma"/>
          <w:sz w:val="20"/>
          <w:szCs w:val="20"/>
        </w:rPr>
        <w:t xml:space="preserve">After any incident or near miss associated with the works;</w:t>
      </w:r>
    </w:p>
    <w:p>
      <w:pPr>
        <w:pStyle w:val="ListParagraph"/>
        <w:numPr>
          <w:ilvl w:val="0"/>
          <w:numId w:val="2"/>
        </w:numPr>
        <w:spacing w:after="60" w:line="268"/>
        <w:jc w:val="both"/>
      </w:pPr>
      <w:r>
        <w:rPr>
          <w:rFonts w:ascii="Tahoma" w:cs="Tahoma" w:eastAsia="Tahoma" w:hAnsi="Tahoma"/>
          <w:sz w:val="20"/>
          <w:szCs w:val="20"/>
        </w:rPr>
        <w:t xml:space="preserve">On any change in the method of work, or any inspection/audit finding;</w:t>
      </w:r>
    </w:p>
    <w:p>
      <w:pPr>
        <w:pStyle w:val="ListParagraph"/>
        <w:numPr>
          <w:ilvl w:val="0"/>
          <w:numId w:val="2"/>
        </w:numPr>
        <w:spacing w:after="60" w:line="268"/>
        <w:jc w:val="both"/>
      </w:pPr>
      <w:r>
        <w:rPr>
          <w:rFonts w:ascii="Tahoma" w:cs="Tahoma" w:eastAsia="Tahoma" w:hAnsi="Tahoma"/>
          <w:sz w:val="20"/>
          <w:szCs w:val="20"/>
        </w:rPr>
        <w:t xml:space="preserve">At least annually for tasks exceeding 12 months, and monthly for tasks up to 12 months.</w:t>
      </w:r>
    </w:p>
    <w:p>
      <w:pPr>
        <w:keepNext/>
        <w:spacing w:after="80" w:before="160"/>
      </w:pPr>
      <w:r>
        <w:rPr>
          <w:rFonts w:ascii="Tahoma" w:cs="Tahoma" w:eastAsia="Tahoma" w:hAnsi="Tahoma"/>
          <w:b/>
          <w:bCs/>
          <w:color w:val="B5692B"/>
          <w:sz w:val="20"/>
          <w:szCs w:val="20"/>
        </w:rPr>
        <w:t xml:space="preserve">SH&amp;E Risk Register</w:t>
      </w:r>
    </w:p>
    <w:p>
      <w:pPr>
        <w:spacing w:after="120" w:line="276"/>
        <w:jc w:val="both"/>
      </w:pPr>
      <w:r>
        <w:rPr>
          <w:rFonts w:ascii="Tahoma" w:cs="Tahoma" w:eastAsia="Tahoma" w:hAnsi="Tahoma"/>
          <w:sz w:val="20"/>
          <w:szCs w:val="20"/>
        </w:rPr>
        <w:t xml:space="preserve">The SH&amp;E Risk Register is the tool for monitoring and reviewing identified risks and the efficacy of mitigation actions. All risk assessments shall use the Register to hold data from Steps 1–3, listing each hazard with sufficient detail to determine which tasks require an AHA, the severity, probability, Risk Assessment Code and the mitigation actions.</w:t>
      </w:r>
    </w:p>
    <w:p>
      <w:pPr>
        <w:pStyle w:val="Heading1"/>
      </w:pPr>
      <w:r>
        <w:t xml:space="preserve">7. Audit</w:t>
      </w:r>
    </w:p>
    <w:p>
      <w:pPr>
        <w:spacing w:after="120" w:line="276"/>
        <w:jc w:val="both"/>
      </w:pPr>
      <w:r>
        <w:rPr>
          <w:rFonts w:ascii="Tahoma" w:cs="Tahoma" w:eastAsia="Tahoma" w:hAnsi="Tahoma"/>
          <w:sz w:val="20"/>
          <w:szCs w:val="20"/>
        </w:rPr>
        <w:t xml:space="preserve">The SH&amp;E risk-management process shall be audited according to the audit schedule, with appropriate recommendations made and implemented as required.</w:t>
      </w:r>
    </w:p>
    <w:p>
      <w:pPr>
        <w:pStyle w:val="Heading1"/>
      </w:pPr>
      <w:r>
        <w:t xml:space="preserve">8. Records</w:t>
      </w:r>
    </w:p>
    <w:p>
      <w:pPr>
        <w:spacing w:after="120" w:line="276"/>
        <w:jc w:val="both"/>
      </w:pPr>
      <w:r>
        <w:rPr>
          <w:rFonts w:ascii="Tahoma" w:cs="Tahoma" w:eastAsia="Tahoma" w:hAnsi="Tahoma"/>
          <w:sz w:val="20"/>
          <w:szCs w:val="20"/>
        </w:rPr>
        <w:t xml:space="preserve">The SH&amp;E Representative maintains risk-management records (Risk Register, risk assessments, AHAs, treatment plans, training and monitoring records) on-site for the duration of the project and archives them at project close.</w:t>
      </w:r>
    </w:p>
    <w:p>
      <w:pPr>
        <w:pStyle w:val="Heading1"/>
      </w:pPr>
      <w:r>
        <w:t xml:space="preserve">9. Related Documents</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Risk Treatment Plan Template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Risk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01-000001-000000-DAN-PRC-HSE-000006-RSKMNG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Risk Management</dc:title>
  <dc:creator>DAN HSSE Management System</dc:creator>
  <cp:lastModifiedBy>Un-named</cp:lastModifiedBy>
  <cp:revision>1</cp:revision>
  <dcterms:created xsi:type="dcterms:W3CDTF">2026-06-27T20:58:47.593Z</dcterms:created>
  <dcterms:modified xsi:type="dcterms:W3CDTF">2026-06-27T20:58:47.594Z</dcterms:modified>
</cp:coreProperties>
</file>

<file path=docProps/custom.xml><?xml version="1.0" encoding="utf-8"?>
<Properties xmlns="http://schemas.openxmlformats.org/officeDocument/2006/custom-properties" xmlns:vt="http://schemas.openxmlformats.org/officeDocument/2006/docPropsVTypes"/>
</file>