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Hazard Communication</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01-000001-000000-DAN-PRC-HSE-000008-HZCOM</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guidelines to inform personnel of potentially hazardous chemicals used on DAN projects.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the storage and handling of hazardous materials, which are covered in the Materials Handling/Storage and Control of Substances Hazardous to Health (COSHH) chapter of this manual.</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hazardous chemicals used by CONTRACTOR personnel on DAN project sites, including multi-employer worksites.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29 CFR 1910.1200 and 29 CFR 1926.59</w:t>
      </w:r>
    </w:p>
    <w:p>
      <w:pPr>
        <w:pStyle w:val="ListParagraph"/>
        <w:numPr>
          <w:ilvl w:val="0"/>
          <w:numId w:val="2"/>
        </w:numPr>
        <w:spacing w:after="60" w:line="268"/>
        <w:jc w:val="both"/>
      </w:pPr>
      <w:r>
        <w:rPr>
          <w:rFonts w:ascii="Tahoma" w:cs="Tahoma" w:eastAsia="Tahoma" w:hAnsi="Tahoma"/>
          <w:sz w:val="20"/>
          <w:szCs w:val="20"/>
        </w:rPr>
        <w:t xml:space="preserve">ACGIH Threshold Limit Values for Chemical Substances and Physical Agents (latest edition)</w:t>
      </w:r>
    </w:p>
    <w:p>
      <w:pPr>
        <w:pStyle w:val="ListParagraph"/>
        <w:numPr>
          <w:ilvl w:val="0"/>
          <w:numId w:val="2"/>
        </w:numPr>
        <w:spacing w:after="60" w:line="268"/>
        <w:jc w:val="both"/>
      </w:pPr>
      <w:r>
        <w:rPr>
          <w:rFonts w:ascii="Tahoma" w:cs="Tahoma" w:eastAsia="Tahoma" w:hAnsi="Tahoma"/>
          <w:sz w:val="20"/>
          <w:szCs w:val="20"/>
        </w:rPr>
        <w:t xml:space="preserve">EM 385-1-1, Section 01.B.06 — Indoctrination and Training</w:t>
      </w:r>
    </w:p>
    <w:p>
      <w:pPr>
        <w:pStyle w:val="ListParagraph"/>
        <w:numPr>
          <w:ilvl w:val="0"/>
          <w:numId w:val="2"/>
        </w:numPr>
        <w:spacing w:after="60" w:line="268"/>
        <w:jc w:val="both"/>
      </w:pPr>
      <w:r>
        <w:rPr>
          <w:rFonts w:ascii="Tahoma" w:cs="Tahoma" w:eastAsia="Tahoma" w:hAnsi="Tahoma"/>
          <w:sz w:val="20"/>
          <w:szCs w:val="20"/>
        </w:rPr>
        <w:t xml:space="preserve">NIOSH Registry of Toxic Effects of Chemical Substances</w:t>
      </w:r>
    </w:p>
    <w:p>
      <w:pPr>
        <w:pStyle w:val="ListParagraph"/>
        <w:numPr>
          <w:ilvl w:val="0"/>
          <w:numId w:val="2"/>
        </w:numPr>
        <w:spacing w:after="60" w:line="268"/>
        <w:jc w:val="both"/>
      </w:pPr>
      <w:r>
        <w:rPr>
          <w:rFonts w:ascii="Tahoma" w:cs="Tahoma" w:eastAsia="Tahoma" w:hAnsi="Tahoma"/>
          <w:sz w:val="20"/>
          <w:szCs w:val="20"/>
        </w:rPr>
        <w:t xml:space="preserve">NFPA / HMIS labelling systems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MSDS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Material Safety Data Sheet.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NFPA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National Fire Protection Association (hazard-classification labelling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HMIS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Hazardous Materials Identification System.</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Primary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original supplier container of a hazardous product.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Secondary Container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container into which a product is transferred from the primary container.</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Project Hazard Communication Plan</w:t>
      </w:r>
    </w:p>
    <w:p>
      <w:pPr>
        <w:pStyle w:val="ListParagraph"/>
        <w:numPr>
          <w:ilvl w:val="0"/>
          <w:numId w:val="2"/>
        </w:numPr>
        <w:spacing w:after="60" w:line="268"/>
        <w:jc w:val="both"/>
      </w:pPr>
      <w:r>
        <w:rPr>
          <w:rFonts w:ascii="Tahoma" w:cs="Tahoma" w:eastAsia="Tahoma" w:hAnsi="Tahoma"/>
          <w:sz w:val="20"/>
          <w:szCs w:val="20"/>
        </w:rPr>
        <w:t xml:space="preserve">Material Safety Data Sheets (MSDS)</w:t>
      </w:r>
    </w:p>
    <w:p>
      <w:pPr>
        <w:pStyle w:val="ListParagraph"/>
        <w:numPr>
          <w:ilvl w:val="0"/>
          <w:numId w:val="2"/>
        </w:numPr>
        <w:spacing w:after="60" w:line="268"/>
        <w:jc w:val="both"/>
      </w:pPr>
      <w:r>
        <w:rPr>
          <w:rFonts w:ascii="Tahoma" w:cs="Tahoma" w:eastAsia="Tahoma" w:hAnsi="Tahoma"/>
          <w:sz w:val="20"/>
          <w:szCs w:val="20"/>
        </w:rPr>
        <w:t xml:space="preserve">Material Safety Data Sheet Logs</w:t>
      </w:r>
    </w:p>
    <w:p>
      <w:pPr>
        <w:pStyle w:val="Heading1"/>
      </w:pPr>
      <w:r>
        <w:t xml:space="preserve">6. Project Hazard Communication Plan</w:t>
      </w:r>
    </w:p>
    <w:p>
      <w:pPr>
        <w:spacing w:after="120" w:line="276"/>
        <w:jc w:val="both"/>
      </w:pPr>
      <w:r>
        <w:rPr>
          <w:rFonts w:ascii="Tahoma" w:cs="Tahoma" w:eastAsia="Tahoma" w:hAnsi="Tahoma"/>
          <w:sz w:val="20"/>
          <w:szCs w:val="20"/>
        </w:rPr>
        <w:t xml:space="preserve">The SH&amp;E Representative leads the development and implementation of a Project Hazard Communication Plan in accordance with KSA regulations and this procedure; it may be included in the project safety plan or developed separately. The SH&amp;E Representative audits CONTRACTOR personnel for compliance. As a minimum, the Plan shall include:</w:t>
      </w:r>
    </w:p>
    <w:p>
      <w:pPr>
        <w:pStyle w:val="ListParagraph"/>
        <w:numPr>
          <w:ilvl w:val="0"/>
          <w:numId w:val="2"/>
        </w:numPr>
        <w:spacing w:after="60" w:line="268"/>
        <w:jc w:val="both"/>
      </w:pPr>
      <w:r>
        <w:rPr>
          <w:rFonts w:ascii="Tahoma" w:cs="Tahoma" w:eastAsia="Tahoma" w:hAnsi="Tahoma"/>
          <w:sz w:val="20"/>
          <w:szCs w:val="20"/>
        </w:rPr>
        <w:t xml:space="preserve">The person responsible for maintaining the programme and communicating its requirements;</w:t>
      </w:r>
    </w:p>
    <w:p>
      <w:pPr>
        <w:pStyle w:val="ListParagraph"/>
        <w:numPr>
          <w:ilvl w:val="0"/>
          <w:numId w:val="2"/>
        </w:numPr>
        <w:spacing w:after="60" w:line="268"/>
        <w:jc w:val="both"/>
      </w:pPr>
      <w:r>
        <w:rPr>
          <w:rFonts w:ascii="Tahoma" w:cs="Tahoma" w:eastAsia="Tahoma" w:hAnsi="Tahoma"/>
          <w:sz w:val="20"/>
          <w:szCs w:val="20"/>
        </w:rPr>
        <w:t xml:space="preserve">The personnel assigned to conduct programme activities (training, inventory, labelling, maintaining MSDS);</w:t>
      </w:r>
    </w:p>
    <w:p>
      <w:pPr>
        <w:pStyle w:val="ListParagraph"/>
        <w:numPr>
          <w:ilvl w:val="0"/>
          <w:numId w:val="2"/>
        </w:numPr>
        <w:spacing w:after="60" w:line="268"/>
        <w:jc w:val="both"/>
      </w:pPr>
      <w:r>
        <w:rPr>
          <w:rFonts w:ascii="Tahoma" w:cs="Tahoma" w:eastAsia="Tahoma" w:hAnsi="Tahoma"/>
          <w:sz w:val="20"/>
          <w:szCs w:val="20"/>
        </w:rPr>
        <w:t xml:space="preserve">An inventory of hazardous substances on the project site, and the locations of and access to MSDS;</w:t>
      </w:r>
    </w:p>
    <w:p>
      <w:pPr>
        <w:pStyle w:val="ListParagraph"/>
        <w:numPr>
          <w:ilvl w:val="0"/>
          <w:numId w:val="2"/>
        </w:numPr>
        <w:spacing w:after="60" w:line="268"/>
        <w:jc w:val="both"/>
      </w:pPr>
      <w:r>
        <w:rPr>
          <w:rFonts w:ascii="Tahoma" w:cs="Tahoma" w:eastAsia="Tahoma" w:hAnsi="Tahoma"/>
          <w:sz w:val="20"/>
          <w:szCs w:val="20"/>
        </w:rPr>
        <w:t xml:space="preserve">Methods for labelling and other warnings, MSDS, training of personnel and visitors, CONTRACTOR-to-CONTRACTOR hazard communication, and non-routine tasks.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In addition to training, hazard communication may be reinforced by multilingual posters, signs and other methods most effective for CONTRACTOR personnel.</w:t>
      </w:r>
    </w:p>
    <w:p>
      <w:pPr>
        <w:pStyle w:val="Heading2"/>
      </w:pPr>
      <w:r>
        <w:t xml:space="preserve">6.1 Multi-Employer Job Sites</w:t>
      </w:r>
    </w:p>
    <w:p>
      <w:pPr>
        <w:spacing w:after="120" w:line="276"/>
        <w:jc w:val="both"/>
      </w:pPr>
      <w:r>
        <w:rPr>
          <w:rFonts w:ascii="Tahoma" w:cs="Tahoma" w:eastAsia="Tahoma" w:hAnsi="Tahoma"/>
          <w:sz w:val="20"/>
          <w:szCs w:val="20"/>
        </w:rPr>
        <w:t xml:space="preserve">On worksites with more than one employer, the exchange of information is limited to situations where other CONTRACTORS’ personnel may be exposed; it does not relieve a CONTRACTOR from maintaining its own programme. During the pre-job safety orientation, the SH&amp;E Representative and Supervisor review the Plan with each CONTRACTOR’s Safety Representative, furnish a copy of the chemical inventory and MSDS Log, and obtain each CONTRACTOR’s Hazard Communication Plan and MSDS for chemicals brought on-site.</w:t>
      </w:r>
    </w:p>
    <w:p>
      <w:pPr>
        <w:pStyle w:val="Heading2"/>
      </w:pPr>
      <w:r>
        <w:t xml:space="preserve">6.2 Hazardous Substance Inventory</w:t>
      </w:r>
    </w:p>
    <w:p>
      <w:pPr>
        <w:pStyle w:val="ListParagraph"/>
        <w:numPr>
          <w:ilvl w:val="0"/>
          <w:numId w:val="2"/>
        </w:numPr>
        <w:spacing w:after="60" w:line="268"/>
        <w:jc w:val="both"/>
      </w:pPr>
      <w:r>
        <w:rPr>
          <w:rFonts w:ascii="Tahoma" w:cs="Tahoma" w:eastAsia="Tahoma" w:hAnsi="Tahoma"/>
          <w:sz w:val="20"/>
          <w:szCs w:val="20"/>
        </w:rPr>
        <w:t xml:space="preserve">Include products in small quantities or containers (often more hazardous because they are overlooked) and items such as welding rods, grinding wheels, compressed gases, paints, epoxies, glues and mixtures.</w:t>
      </w:r>
    </w:p>
    <w:p>
      <w:pPr>
        <w:pStyle w:val="ListParagraph"/>
        <w:numPr>
          <w:ilvl w:val="0"/>
          <w:numId w:val="2"/>
        </w:numPr>
        <w:spacing w:after="60" w:line="268"/>
        <w:jc w:val="both"/>
      </w:pPr>
      <w:r>
        <w:rPr>
          <w:rFonts w:ascii="Tahoma" w:cs="Tahoma" w:eastAsia="Tahoma" w:hAnsi="Tahoma"/>
          <w:sz w:val="20"/>
          <w:szCs w:val="20"/>
        </w:rPr>
        <w:t xml:space="preserve">Include approximate quantities (e.g. litres, kilograms) on-site at any given time, and attach a site map showing storage locations.</w:t>
      </w:r>
    </w:p>
    <w:p>
      <w:pPr>
        <w:pStyle w:val="ListParagraph"/>
        <w:numPr>
          <w:ilvl w:val="0"/>
          <w:numId w:val="2"/>
        </w:numPr>
        <w:spacing w:after="60" w:line="268"/>
        <w:jc w:val="both"/>
      </w:pPr>
      <w:r>
        <w:rPr>
          <w:rFonts w:ascii="Tahoma" w:cs="Tahoma" w:eastAsia="Tahoma" w:hAnsi="Tahoma"/>
          <w:sz w:val="20"/>
          <w:szCs w:val="20"/>
        </w:rPr>
        <w:t xml:space="preserve">Include an index at the front of the MSDS binder listing the MSDS number, product name, manufacturer, MSDS status and any common name used by personnel.</w:t>
      </w:r>
    </w:p>
    <w:p>
      <w:pPr>
        <w:pStyle w:val="Heading2"/>
      </w:pPr>
      <w:r>
        <w:t xml:space="preserve">6.3 Material Safety Data Sheets (MSDS)</w:t>
      </w:r>
    </w:p>
    <w:p>
      <w:pPr>
        <w:keepNext/>
        <w:spacing w:after="80" w:before="160"/>
      </w:pPr>
      <w:r>
        <w:rPr>
          <w:rFonts w:ascii="Tahoma" w:cs="Tahoma" w:eastAsia="Tahoma" w:hAnsi="Tahoma"/>
          <w:b/>
          <w:bCs/>
          <w:color w:val="B5692B"/>
          <w:sz w:val="20"/>
          <w:szCs w:val="20"/>
        </w:rPr>
        <w:t xml:space="preserve">6.3.1 Compile and Update</w:t>
      </w:r>
    </w:p>
    <w:p>
      <w:pPr>
        <w:spacing w:after="120" w:line="276"/>
        <w:jc w:val="both"/>
      </w:pPr>
      <w:r>
        <w:rPr>
          <w:rFonts w:ascii="Tahoma" w:cs="Tahoma" w:eastAsia="Tahoma" w:hAnsi="Tahoma"/>
          <w:sz w:val="20"/>
          <w:szCs w:val="20"/>
        </w:rPr>
        <w:t xml:space="preserve">The SH&amp;E Representative ensures an MSDS is available for each hazardous substance on the inventory. Where none is held, the SH&amp;E Representative requests it from the manufacturer/supplier (retaining a dated copy of the request); personnel purchasing or receiving products submit the MSDS to the SH&amp;E Representative. Each MSDS shall be reviewed to ensure it is complete, that substance names match the container labels and inventory, and that it is specific rather than generic. Supervisors ensure all MSDS/AHA precautions are taken and brief personnel before use.</w:t>
      </w:r>
    </w:p>
    <w:p>
      <w:pPr>
        <w:keepNext/>
        <w:spacing w:after="80" w:before="160"/>
      </w:pPr>
      <w:r>
        <w:rPr>
          <w:rFonts w:ascii="Tahoma" w:cs="Tahoma" w:eastAsia="Tahoma" w:hAnsi="Tahoma"/>
          <w:b/>
          <w:bCs/>
          <w:color w:val="B5692B"/>
          <w:sz w:val="20"/>
          <w:szCs w:val="20"/>
        </w:rPr>
        <w:t xml:space="preserve">6.3.2 Evaluate</w:t>
      </w:r>
    </w:p>
    <w:p>
      <w:pPr>
        <w:spacing w:after="120" w:line="276"/>
        <w:jc w:val="both"/>
      </w:pPr>
      <w:r>
        <w:rPr>
          <w:rFonts w:ascii="Tahoma" w:cs="Tahoma" w:eastAsia="Tahoma" w:hAnsi="Tahoma"/>
          <w:sz w:val="20"/>
          <w:szCs w:val="20"/>
        </w:rPr>
        <w:t xml:space="preserve">The SH&amp;E Representative evaluates each new MSDS to determine whether the product presents an acceptable hazard, an unacceptable hazard, or needs further assessment — identifying chemical components, potential hazards and recommended controls, evaluating carcinogens, considering controls for inclusion in an AHA, and investigating less-hazardous substitutes. Where the hazard is unacceptable, a less hazardous alternative is found with the requestor.</w:t>
      </w:r>
    </w:p>
    <w:p>
      <w:pPr>
        <w:keepNext/>
        <w:spacing w:after="80" w:before="160"/>
      </w:pPr>
      <w:r>
        <w:rPr>
          <w:rFonts w:ascii="Tahoma" w:cs="Tahoma" w:eastAsia="Tahoma" w:hAnsi="Tahoma"/>
          <w:b/>
          <w:bCs/>
          <w:color w:val="B5692B"/>
          <w:sz w:val="20"/>
          <w:szCs w:val="20"/>
        </w:rPr>
        <w:t xml:space="preserve">6.3.3 Personnel Access</w:t>
      </w:r>
    </w:p>
    <w:p>
      <w:pPr>
        <w:spacing w:after="120" w:line="276"/>
        <w:jc w:val="both"/>
      </w:pPr>
      <w:r>
        <w:rPr>
          <w:rFonts w:ascii="Tahoma" w:cs="Tahoma" w:eastAsia="Tahoma" w:hAnsi="Tahoma"/>
          <w:sz w:val="20"/>
          <w:szCs w:val="20"/>
        </w:rPr>
        <w:t xml:space="preserve">Any personnel may view the MSDS at any time, without interruption of normal work operations, via an electronic system, an MSDS binder of hard copies in accessible areas, or an MSDS request system. Applicable MSDS materials shall be provided in site offices, warehouses and locations where hazardous materials are in use.</w:t>
      </w:r>
    </w:p>
    <w:p>
      <w:pPr>
        <w:pStyle w:val="Heading2"/>
      </w:pPr>
      <w:r>
        <w:t xml:space="preserve">6.4 Non-Routine Tasks</w:t>
      </w:r>
    </w:p>
    <w:p>
      <w:pPr>
        <w:spacing w:after="120" w:line="276"/>
        <w:jc w:val="both"/>
      </w:pPr>
      <w:r>
        <w:rPr>
          <w:rFonts w:ascii="Tahoma" w:cs="Tahoma" w:eastAsia="Tahoma" w:hAnsi="Tahoma"/>
          <w:sz w:val="20"/>
          <w:szCs w:val="20"/>
        </w:rPr>
        <w:t xml:space="preserve">Priority is given to conducting AHAs for non-routine tasks, addressing chemical safety issues including personnel exposure, storage and use; the SH&amp;E Representative ensures an MSDS is available for all products identified in AHAs.</w:t>
      </w:r>
    </w:p>
    <w:p>
      <w:pPr>
        <w:pStyle w:val="Heading2"/>
      </w:pPr>
      <w:r>
        <w:t xml:space="preserve">6.5 Labelling</w:t>
      </w:r>
    </w:p>
    <w:p>
      <w:pPr>
        <w:spacing w:after="120" w:line="276"/>
        <w:jc w:val="both"/>
      </w:pPr>
      <w:r>
        <w:rPr>
          <w:rFonts w:ascii="Tahoma" w:cs="Tahoma" w:eastAsia="Tahoma" w:hAnsi="Tahoma"/>
          <w:sz w:val="20"/>
          <w:szCs w:val="20"/>
        </w:rPr>
        <w:t xml:space="preserve">The Plan defines the labelling method for each container and designates responsible personnel. All containers on the inventory shall be reviewed for proper labelling; unlabelled or improperly labelled containers shall be labelled from the supplier or MSDS information, set aside until labelled, or disposed of properly.</w:t>
      </w:r>
    </w:p>
    <w:p>
      <w:pPr>
        <w:keepNext/>
        <w:spacing w:after="80" w:before="160"/>
      </w:pPr>
      <w:r>
        <w:rPr>
          <w:rFonts w:ascii="Tahoma" w:cs="Tahoma" w:eastAsia="Tahoma" w:hAnsi="Tahoma"/>
          <w:b/>
          <w:bCs/>
          <w:color w:val="B5692B"/>
          <w:sz w:val="20"/>
          <w:szCs w:val="20"/>
        </w:rPr>
        <w:t xml:space="preserve">6.5.1 General Label Requirements</w:t>
      </w:r>
    </w:p>
    <w:p>
      <w:pPr>
        <w:pStyle w:val="ListParagraph"/>
        <w:numPr>
          <w:ilvl w:val="0"/>
          <w:numId w:val="2"/>
        </w:numPr>
        <w:spacing w:after="60" w:line="268"/>
        <w:jc w:val="both"/>
      </w:pPr>
      <w:r>
        <w:rPr>
          <w:rFonts w:ascii="Tahoma" w:cs="Tahoma" w:eastAsia="Tahoma" w:hAnsi="Tahoma"/>
          <w:sz w:val="20"/>
          <w:szCs w:val="20"/>
        </w:rPr>
        <w:t xml:space="preserve">Labels shall be legible and located prominently so they can be read with the container in its normal upright position.</w:t>
      </w:r>
    </w:p>
    <w:p>
      <w:pPr>
        <w:pStyle w:val="ListParagraph"/>
        <w:numPr>
          <w:ilvl w:val="0"/>
          <w:numId w:val="2"/>
        </w:numPr>
        <w:spacing w:after="60" w:line="268"/>
        <w:jc w:val="both"/>
      </w:pPr>
      <w:r>
        <w:rPr>
          <w:rFonts w:ascii="Tahoma" w:cs="Tahoma" w:eastAsia="Tahoma" w:hAnsi="Tahoma"/>
          <w:sz w:val="20"/>
          <w:szCs w:val="20"/>
        </w:rPr>
        <w:t xml:space="preserve">Labels shall be of weather-resistant material that cannot be defaced; information shall remain clear if exposed to the weather.</w:t>
      </w:r>
    </w:p>
    <w:p>
      <w:pPr>
        <w:pStyle w:val="ListParagraph"/>
        <w:numPr>
          <w:ilvl w:val="0"/>
          <w:numId w:val="2"/>
        </w:numPr>
        <w:spacing w:after="60" w:line="268"/>
        <w:jc w:val="both"/>
      </w:pPr>
      <w:r>
        <w:rPr>
          <w:rFonts w:ascii="Tahoma" w:cs="Tahoma" w:eastAsia="Tahoma" w:hAnsi="Tahoma"/>
          <w:sz w:val="20"/>
          <w:szCs w:val="20"/>
        </w:rPr>
        <w:t xml:space="preserve">For non-English-speaking personnel, information shall be presented in the site language(s) of the workforce.</w:t>
      </w:r>
    </w:p>
    <w:p>
      <w:pPr>
        <w:pStyle w:val="ListParagraph"/>
        <w:numPr>
          <w:ilvl w:val="0"/>
          <w:numId w:val="2"/>
        </w:numPr>
        <w:spacing w:after="60" w:line="268"/>
        <w:jc w:val="both"/>
      </w:pPr>
      <w:r>
        <w:rPr>
          <w:rFonts w:ascii="Tahoma" w:cs="Tahoma" w:eastAsia="Tahoma" w:hAnsi="Tahoma"/>
          <w:sz w:val="20"/>
          <w:szCs w:val="20"/>
        </w:rPr>
        <w:t xml:space="preserve">Containers of mixtures shall be labelled with the chemical name of each toxic/hazardous substance (and, recommended, the common name of the mixture).</w:t>
      </w:r>
    </w:p>
    <w:p>
      <w:pPr>
        <w:pStyle w:val="ListParagraph"/>
        <w:numPr>
          <w:ilvl w:val="0"/>
          <w:numId w:val="2"/>
        </w:numPr>
        <w:spacing w:after="60" w:line="268"/>
        <w:jc w:val="both"/>
      </w:pPr>
      <w:r>
        <w:rPr>
          <w:rFonts w:ascii="Tahoma" w:cs="Tahoma" w:eastAsia="Tahoma" w:hAnsi="Tahoma"/>
          <w:sz w:val="20"/>
          <w:szCs w:val="20"/>
        </w:rPr>
        <w:t xml:space="preserve">Alternative methods (signs, placards, process sheets, batch tickets, operating procedures) shall identify the container, the hazardous substance(s) and appropriate hazard warnings, and be readily accessible to personnel each shift.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Pipelines containing hazardous substances are not considered containers and need not be labelled; however, AHAs shall address how personnel working on unlabelled pipelines are protected from chemical hazards.</w:t>
      </w:r>
    </w:p>
    <w:p>
      <w:pPr>
        <w:keepNext/>
        <w:spacing w:after="80" w:before="160"/>
      </w:pPr>
      <w:r>
        <w:rPr>
          <w:rFonts w:ascii="Tahoma" w:cs="Tahoma" w:eastAsia="Tahoma" w:hAnsi="Tahoma"/>
          <w:b/>
          <w:bCs/>
          <w:color w:val="B5692B"/>
          <w:sz w:val="20"/>
          <w:szCs w:val="20"/>
        </w:rPr>
        <w:t xml:space="preserve">6.5.2 Primary Container Labelling</w:t>
      </w:r>
    </w:p>
    <w:p>
      <w:pPr>
        <w:pStyle w:val="ListParagraph"/>
        <w:numPr>
          <w:ilvl w:val="0"/>
          <w:numId w:val="2"/>
        </w:numPr>
        <w:spacing w:after="60" w:line="268"/>
        <w:jc w:val="both"/>
      </w:pPr>
      <w:r>
        <w:rPr>
          <w:rFonts w:ascii="Tahoma" w:cs="Tahoma" w:eastAsia="Tahoma" w:hAnsi="Tahoma"/>
          <w:sz w:val="20"/>
          <w:szCs w:val="20"/>
        </w:rPr>
        <w:t xml:space="preserve">Chemical name of the product;</w:t>
      </w:r>
    </w:p>
    <w:p>
      <w:pPr>
        <w:pStyle w:val="ListParagraph"/>
        <w:numPr>
          <w:ilvl w:val="0"/>
          <w:numId w:val="2"/>
        </w:numPr>
        <w:spacing w:after="60" w:line="268"/>
        <w:jc w:val="both"/>
      </w:pPr>
      <w:r>
        <w:rPr>
          <w:rFonts w:ascii="Tahoma" w:cs="Tahoma" w:eastAsia="Tahoma" w:hAnsi="Tahoma"/>
          <w:sz w:val="20"/>
          <w:szCs w:val="20"/>
        </w:rPr>
        <w:t xml:space="preserve">Hazard warning for physical hazards (e.g. fire, explosion) and health hazards (e.g. exposure), such as NFPA or HMIS;</w:t>
      </w:r>
    </w:p>
    <w:p>
      <w:pPr>
        <w:pStyle w:val="ListParagraph"/>
        <w:numPr>
          <w:ilvl w:val="0"/>
          <w:numId w:val="2"/>
        </w:numPr>
        <w:spacing w:after="60" w:line="268"/>
        <w:jc w:val="both"/>
      </w:pPr>
      <w:r>
        <w:rPr>
          <w:rFonts w:ascii="Tahoma" w:cs="Tahoma" w:eastAsia="Tahoma" w:hAnsi="Tahoma"/>
          <w:sz w:val="20"/>
          <w:szCs w:val="20"/>
        </w:rPr>
        <w:t xml:space="preserve">Name and address of the manufacturer, importer or other responsible party.</w:t>
      </w:r>
    </w:p>
    <w:p>
      <w:pPr>
        <w:keepNext/>
        <w:spacing w:after="80" w:before="160"/>
      </w:pPr>
      <w:r>
        <w:rPr>
          <w:rFonts w:ascii="Tahoma" w:cs="Tahoma" w:eastAsia="Tahoma" w:hAnsi="Tahoma"/>
          <w:b/>
          <w:bCs/>
          <w:color w:val="B5692B"/>
          <w:sz w:val="20"/>
          <w:szCs w:val="20"/>
        </w:rPr>
        <w:t xml:space="preserve">6.5.3 Secondary Container Labelling</w:t>
      </w:r>
    </w:p>
    <w:p>
      <w:pPr>
        <w:spacing w:after="120" w:line="276"/>
        <w:jc w:val="both"/>
      </w:pPr>
      <w:r>
        <w:rPr>
          <w:rFonts w:ascii="Tahoma" w:cs="Tahoma" w:eastAsia="Tahoma" w:hAnsi="Tahoma"/>
          <w:sz w:val="20"/>
          <w:szCs w:val="20"/>
        </w:rPr>
        <w:t xml:space="preserve">A secondary label is not required where personnel fill and immediately use a container that remains under their direct control until empty. Otherwise, secondary container labels shall include the chemical name and the physical/health hazard warning (NFPA or HMIS). Where a labelled container is covered by a secondary container while in use, the required labels shall also appear on the secondary container or covering.</w:t>
      </w:r>
    </w:p>
    <w:p>
      <w:pPr>
        <w:pStyle w:val="Heading1"/>
      </w:pPr>
      <w:r>
        <w:t xml:space="preserve">7. Records</w:t>
      </w:r>
    </w:p>
    <w:p>
      <w:pPr>
        <w:spacing w:after="120" w:line="276"/>
        <w:jc w:val="both"/>
      </w:pPr>
      <w:r>
        <w:rPr>
          <w:rFonts w:ascii="Tahoma" w:cs="Tahoma" w:eastAsia="Tahoma" w:hAnsi="Tahoma"/>
          <w:sz w:val="20"/>
          <w:szCs w:val="20"/>
        </w:rPr>
        <w:t xml:space="preserve">The Project Hazard Communication Plan, hazardous-substance inventory, MSDS Logs and MSDS files shall be maintained on-site and made available to DAN and CONTRACTOR Safety Representatives on request.</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Control of Substances Hazardous to Health (COSHH)</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Project Hazard Communication Plan Template</w:t>
      </w:r>
    </w:p>
    <w:p>
      <w:pPr>
        <w:pStyle w:val="ListParagraph"/>
        <w:numPr>
          <w:ilvl w:val="0"/>
          <w:numId w:val="2"/>
        </w:numPr>
        <w:spacing w:after="60" w:line="268"/>
        <w:jc w:val="both"/>
      </w:pPr>
      <w:r>
        <w:rPr>
          <w:rFonts w:ascii="Tahoma" w:cs="Tahoma" w:eastAsia="Tahoma" w:hAnsi="Tahoma"/>
          <w:sz w:val="20"/>
          <w:szCs w:val="20"/>
        </w:rPr>
        <w:t xml:space="preserve">MSDS Log</w:t>
      </w:r>
    </w:p>
    <w:p>
      <w:pPr>
        <w:pStyle w:val="Heading1"/>
      </w:pPr>
      <w:r>
        <w:t xml:space="preserve">9. Appendix</w:t>
      </w:r>
    </w:p>
    <w:p>
      <w:pPr>
        <w:pStyle w:val="ListParagraph"/>
        <w:numPr>
          <w:ilvl w:val="0"/>
          <w:numId w:val="2"/>
        </w:numPr>
        <w:spacing w:after="60" w:line="268"/>
        <w:jc w:val="both"/>
      </w:pPr>
      <w:r>
        <w:rPr>
          <w:rFonts w:ascii="Tahoma" w:cs="Tahoma" w:eastAsia="Tahoma" w:hAnsi="Tahoma"/>
          <w:sz w:val="20"/>
          <w:szCs w:val="20"/>
        </w:rPr>
        <w:t xml:space="preserve">Appendix A — NFPA Hazard Classifications.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Hazard Communication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01-000001-000000-DAN-PRC-HSE-000008-HZCOM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 Communication</dc:title>
  <dc:creator>DAN HSSE Management System</dc:creator>
  <cp:lastModifiedBy>Un-named</cp:lastModifiedBy>
  <cp:revision>1</cp:revision>
  <dcterms:created xsi:type="dcterms:W3CDTF">2026-06-27T20:58:47.820Z</dcterms:created>
  <dcterms:modified xsi:type="dcterms:W3CDTF">2026-06-27T20:58:47.820Z</dcterms:modified>
</cp:coreProperties>
</file>

<file path=docProps/custom.xml><?xml version="1.0" encoding="utf-8"?>
<Properties xmlns="http://schemas.openxmlformats.org/officeDocument/2006/custom-properties" xmlns:vt="http://schemas.openxmlformats.org/officeDocument/2006/docPropsVTypes"/>
</file>