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Construction Environmental Management Plan (CEMP)</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01-DAN-PRC-HSE-000003-CEMP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Submission and Approval</w:t>
            </w:r>
          </w:hyperlink>
        </w:p>
        <w:p>
          <w:pPr>
            <w:spacing w:after="40" w:line="259"/>
            <w:ind w:left="0"/>
          </w:pPr>
          <w:hyperlink w:anchor="_DanToc9006" w:history="1">
            <w:r>
              <w:rPr>
                <w:rFonts w:ascii="Tahoma" w:hAnsi="Tahoma" w:cs="Tahoma"/>
                <w:b/>
                <w:color w:val="542A12"/>
                <w:sz w:val="20"/>
              </w:rPr>
              <w:t xml:space="preserve">7. CEMP Structure</w:t>
            </w:r>
          </w:hyperlink>
        </w:p>
        <w:p>
          <w:pPr>
            <w:spacing w:after="40" w:line="259"/>
            <w:ind w:left="360"/>
          </w:pPr>
          <w:hyperlink w:anchor="_DanToc9007" w:history="1">
            <w:r>
              <w:rPr>
                <w:rFonts w:ascii="Tahoma" w:hAnsi="Tahoma" w:cs="Tahoma"/>
                <w:color w:val="444444"/>
                <w:sz w:val="19"/>
              </w:rPr>
              <w:t xml:space="preserve">7.1 Introduction</w:t>
            </w:r>
          </w:hyperlink>
        </w:p>
        <w:p>
          <w:pPr>
            <w:spacing w:after="40" w:line="259"/>
            <w:ind w:left="360"/>
          </w:pPr>
          <w:hyperlink w:anchor="_DanToc9008" w:history="1">
            <w:r>
              <w:rPr>
                <w:rFonts w:ascii="Tahoma" w:hAnsi="Tahoma" w:cs="Tahoma"/>
                <w:color w:val="444444"/>
                <w:sz w:val="19"/>
              </w:rPr>
              <w:t xml:space="preserve">7.2 Project Description</w:t>
            </w:r>
          </w:hyperlink>
        </w:p>
        <w:p>
          <w:pPr>
            <w:spacing w:after="40" w:line="259"/>
            <w:ind w:left="360"/>
          </w:pPr>
          <w:hyperlink w:anchor="_DanToc9009" w:history="1">
            <w:r>
              <w:rPr>
                <w:rFonts w:ascii="Tahoma" w:hAnsi="Tahoma" w:cs="Tahoma"/>
                <w:color w:val="444444"/>
                <w:sz w:val="19"/>
              </w:rPr>
              <w:t xml:space="preserve">7.3 Existing Environment and Construction Works</w:t>
            </w:r>
          </w:hyperlink>
        </w:p>
        <w:p>
          <w:pPr>
            <w:spacing w:after="40" w:line="259"/>
            <w:ind w:left="360"/>
          </w:pPr>
          <w:hyperlink w:anchor="_DanToc9010" w:history="1">
            <w:r>
              <w:rPr>
                <w:rFonts w:ascii="Tahoma" w:hAnsi="Tahoma" w:cs="Tahoma"/>
                <w:color w:val="444444"/>
                <w:sz w:val="19"/>
              </w:rPr>
              <w:t xml:space="preserve">7.4 Roles and Responsibilities (including Third-Party Consultation)</w:t>
            </w:r>
          </w:hyperlink>
        </w:p>
        <w:p>
          <w:pPr>
            <w:spacing w:after="40" w:line="259"/>
            <w:ind w:left="360"/>
          </w:pPr>
          <w:hyperlink w:anchor="_DanToc9011" w:history="1">
            <w:r>
              <w:rPr>
                <w:rFonts w:ascii="Tahoma" w:hAnsi="Tahoma" w:cs="Tahoma"/>
                <w:color w:val="444444"/>
                <w:sz w:val="19"/>
              </w:rPr>
              <w:t xml:space="preserve">7.5 KSA Legal and Regulatory Framework</w:t>
            </w:r>
          </w:hyperlink>
        </w:p>
        <w:p>
          <w:pPr>
            <w:spacing w:after="40" w:line="259"/>
            <w:ind w:left="360"/>
          </w:pPr>
          <w:hyperlink w:anchor="_DanToc9012" w:history="1">
            <w:r>
              <w:rPr>
                <w:rFonts w:ascii="Tahoma" w:hAnsi="Tahoma" w:cs="Tahoma"/>
                <w:color w:val="444444"/>
                <w:sz w:val="19"/>
              </w:rPr>
              <w:t xml:space="preserve">7.6 Environmental Permits and Approvals</w:t>
            </w:r>
          </w:hyperlink>
        </w:p>
        <w:p>
          <w:pPr>
            <w:spacing w:after="40" w:line="259"/>
            <w:ind w:left="360"/>
          </w:pPr>
          <w:hyperlink w:anchor="_DanToc9013" w:history="1">
            <w:r>
              <w:rPr>
                <w:rFonts w:ascii="Tahoma" w:hAnsi="Tahoma" w:cs="Tahoma"/>
                <w:color w:val="444444"/>
                <w:sz w:val="19"/>
              </w:rPr>
              <w:t xml:space="preserve">7.7 Environmental Risks and Opportunities</w:t>
            </w:r>
          </w:hyperlink>
        </w:p>
        <w:p>
          <w:pPr>
            <w:spacing w:after="40" w:line="259"/>
            <w:ind w:left="360"/>
          </w:pPr>
          <w:hyperlink w:anchor="_DanToc9014" w:history="1">
            <w:r>
              <w:rPr>
                <w:rFonts w:ascii="Tahoma" w:hAnsi="Tahoma" w:cs="Tahoma"/>
                <w:color w:val="444444"/>
                <w:sz w:val="19"/>
              </w:rPr>
              <w:t xml:space="preserve">7.8 Environmental Control Plan (ECP)</w:t>
            </w:r>
          </w:hyperlink>
        </w:p>
        <w:p>
          <w:pPr>
            <w:spacing w:after="40" w:line="259"/>
            <w:ind w:left="360"/>
          </w:pPr>
          <w:hyperlink w:anchor="_DanToc9015" w:history="1">
            <w:r>
              <w:rPr>
                <w:rFonts w:ascii="Tahoma" w:hAnsi="Tahoma" w:cs="Tahoma"/>
                <w:color w:val="444444"/>
                <w:sz w:val="19"/>
              </w:rPr>
              <w:t xml:space="preserve">7.9 Implementation of the CEMP</w:t>
            </w:r>
          </w:hyperlink>
        </w:p>
        <w:p>
          <w:pPr>
            <w:spacing w:after="40" w:line="259"/>
            <w:ind w:left="360"/>
          </w:pPr>
          <w:hyperlink w:anchor="_DanToc9016" w:history="1">
            <w:r>
              <w:rPr>
                <w:rFonts w:ascii="Tahoma" w:hAnsi="Tahoma" w:cs="Tahoma"/>
                <w:color w:val="444444"/>
                <w:sz w:val="19"/>
              </w:rPr>
              <w:t xml:space="preserve">7.10 Environmental Management Review</w:t>
            </w:r>
          </w:hyperlink>
        </w:p>
        <w:p>
          <w:pPr>
            <w:spacing w:after="40" w:line="259"/>
            <w:ind w:left="0"/>
          </w:pPr>
          <w:hyperlink w:anchor="_DanToc9017" w:history="1">
            <w:r>
              <w:rPr>
                <w:rFonts w:ascii="Tahoma" w:hAnsi="Tahoma" w:cs="Tahoma"/>
                <w:b/>
                <w:color w:val="542A12"/>
                <w:sz w:val="20"/>
              </w:rPr>
              <w:t xml:space="preserve">8. Metrics and KPIs</w:t>
            </w:r>
          </w:hyperlink>
        </w:p>
        <w:p>
          <w:pPr>
            <w:spacing w:after="40" w:line="259"/>
            <w:ind w:left="0"/>
          </w:pPr>
          <w:hyperlink w:anchor="_DanToc9018" w:history="1">
            <w:r>
              <w:rPr>
                <w:rFonts w:ascii="Tahoma" w:hAnsi="Tahoma" w:cs="Tahoma"/>
                <w:b/>
                <w:color w:val="542A12"/>
                <w:sz w:val="20"/>
              </w:rPr>
              <w:t xml:space="preserve">9. Records</w:t>
            </w:r>
          </w:hyperlink>
        </w:p>
        <w:p>
          <w:pPr>
            <w:spacing w:after="40" w:line="259"/>
            <w:ind w:left="0"/>
          </w:pPr>
          <w:hyperlink w:anchor="_DanToc9019" w:history="1">
            <w:r>
              <w:rPr>
                <w:rFonts w:ascii="Tahoma" w:hAnsi="Tahoma" w:cs="Tahoma"/>
                <w:b/>
                <w:color w:val="542A12"/>
                <w:sz w:val="20"/>
              </w:rPr>
              <w:t xml:space="preserve">10. Related Documents</w:t>
            </w:r>
          </w:hyperlink>
        </w:p>
        <w:p>
          <w:pPr>
            <w:spacing w:after="40" w:line="259"/>
            <w:ind w:left="0"/>
          </w:pPr>
          <w:hyperlink w:anchor="_DanToc902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detailed information on the environmental issues to be addressed in the preparation and implementation of a project-specific Construction Environmental Management Plan (CEMP). The CEMP shall be tailored to the project’s needs and to the applicable contractual and environmental regulatory requirements.</w:t>
      </w:r>
    </w:p>
    <w:p>
      <w:pPr>
        <w:spacing w:after="120" w:line="276"/>
        <w:jc w:val="both"/>
      </w:pPr>
      <w:r>
        <w:rPr>
          <w:rFonts w:ascii="Tahoma" w:cs="Tahoma" w:eastAsia="Tahoma" w:hAnsi="Tahoma"/>
          <w:sz w:val="20"/>
          <w:szCs w:val="20"/>
        </w:rPr>
        <w:t xml:space="preserve">The regulatory framework of the Kingdom of Saudi Arabia requires that a project-specific CEMP be developed, including details of construction works, relevant legislation, environmental aspects and impacts, environmental quality standards, and best-practice mitigation and control measures to eliminate, substitute, minimise and manage identified environmental issues. The CEMP shall provide a structured framework to achieve environmental compliance and drive environmental sustainability during the execution of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construction projects. Every project shall develop, implement and maintain a CEMP for the entire duration of its construction works.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ISO 14001 — Environmental Management Systems (current version)</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GAMEP / MEWA Environmental Law and Environmental Standards</w:t>
      </w:r>
    </w:p>
    <w:p>
      <w:pPr>
        <w:pStyle w:val="ListParagraph"/>
        <w:numPr>
          <w:ilvl w:val="0"/>
          <w:numId w:val="2"/>
        </w:numPr>
        <w:spacing w:after="60" w:line="268"/>
        <w:jc w:val="both"/>
      </w:pPr>
      <w:r>
        <w:rPr>
          <w:rFonts w:ascii="Tahoma" w:cs="Tahoma" w:eastAsia="Tahoma" w:hAnsi="Tahoma"/>
          <w:sz w:val="20"/>
          <w:szCs w:val="20"/>
        </w:rPr>
        <w:t xml:space="preserve">DCSM — 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ECP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Control Plan — the mitigation and control measures minimising identified environmental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EIA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Impact Assessment.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Practicable.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GAMEP / MEWA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Authority for Meteorology and Environmental Protection / Ministry of Environment, Water and Agriculture.</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Environmental Control Plan (ECP)</w:t>
      </w:r>
    </w:p>
    <w:p>
      <w:pPr>
        <w:pStyle w:val="ListParagraph"/>
        <w:numPr>
          <w:ilvl w:val="0"/>
          <w:numId w:val="2"/>
        </w:numPr>
        <w:spacing w:after="60" w:line="268"/>
        <w:jc w:val="both"/>
      </w:pPr>
      <w:r>
        <w:rPr>
          <w:rFonts w:ascii="Tahoma" w:cs="Tahoma" w:eastAsia="Tahoma" w:hAnsi="Tahoma"/>
          <w:sz w:val="20"/>
          <w:szCs w:val="20"/>
        </w:rPr>
        <w:t xml:space="preserve">Environmental Compliance Log</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ListParagraph"/>
        <w:numPr>
          <w:ilvl w:val="0"/>
          <w:numId w:val="2"/>
        </w:numPr>
        <w:spacing w:after="60" w:line="268"/>
        <w:jc w:val="both"/>
      </w:pPr>
      <w:r>
        <w:rPr>
          <w:rFonts w:ascii="Tahoma" w:cs="Tahoma" w:eastAsia="Tahoma" w:hAnsi="Tahoma"/>
          <w:sz w:val="20"/>
          <w:szCs w:val="20"/>
        </w:rPr>
        <w:t xml:space="preserve">Environmental Impact and Aspect Assessment Register</w:t>
      </w:r>
    </w:p>
    <w:p>
      <w:pPr>
        <w:pStyle w:val="Heading1"/>
      </w:pPr>
      <w:bookmarkStart w:id="9005" w:name="_DanToc9005"/>
      <w:r>
        <w:t xml:space="preserve">6. Submission and Approval</w:t>
      </w:r>
      <w:bookmarkEnd w:id="9005"/>
    </w:p>
    <w:p>
      <w:pPr>
        <w:spacing w:after="120" w:line="276"/>
        <w:jc w:val="both"/>
      </w:pPr>
      <w:r>
        <w:rPr>
          <w:rFonts w:ascii="Tahoma" w:cs="Tahoma" w:eastAsia="Tahoma" w:hAnsi="Tahoma"/>
          <w:sz w:val="20"/>
          <w:szCs w:val="20"/>
        </w:rPr>
        <w:t xml:space="preserve">All projects shall develop, implement and maintain a CEMP for the entire duration of the construction works. The CEMP shall be:</w:t>
      </w:r>
    </w:p>
    <w:p>
      <w:pPr>
        <w:pStyle w:val="ListParagraph"/>
        <w:numPr>
          <w:ilvl w:val="0"/>
          <w:numId w:val="2"/>
        </w:numPr>
        <w:spacing w:after="60" w:line="268"/>
        <w:jc w:val="both"/>
      </w:pPr>
      <w:r>
        <w:rPr>
          <w:rFonts w:ascii="Tahoma" w:cs="Tahoma" w:eastAsia="Tahoma" w:hAnsi="Tahoma"/>
          <w:sz w:val="20"/>
          <w:szCs w:val="20"/>
        </w:rPr>
        <w:t xml:space="preserve">Developed and submitted for review to the DAN Representative within 45 calendar days of the award of the construction contract;</w:t>
      </w:r>
    </w:p>
    <w:p>
      <w:pPr>
        <w:pStyle w:val="ListParagraph"/>
        <w:numPr>
          <w:ilvl w:val="0"/>
          <w:numId w:val="2"/>
        </w:numPr>
        <w:spacing w:after="60" w:line="268"/>
        <w:jc w:val="both"/>
      </w:pPr>
      <w:r>
        <w:rPr>
          <w:rFonts w:ascii="Tahoma" w:cs="Tahoma" w:eastAsia="Tahoma" w:hAnsi="Tahoma"/>
          <w:sz w:val="20"/>
          <w:szCs w:val="20"/>
        </w:rPr>
        <w:t xml:space="preserve">Submitted to DAN for approval, covering the entire construction phase(s), within 60 calendar days of the award of the construction contract.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CONTRACTOR shall meet any site-wide EIA requirements established by DAN. Where the approved EIA imposes more severe requirements than this document, the CONTRACTOR shall follow the more severe requirements.</w:t>
      </w:r>
    </w:p>
    <w:p>
      <w:pPr>
        <w:pStyle w:val="Heading1"/>
      </w:pPr>
      <w:bookmarkStart w:id="9006" w:name="_DanToc9006"/>
      <w:r>
        <w:t xml:space="preserve">7. CEMP Structure</w:t>
      </w:r>
      <w:bookmarkEnd w:id="9006"/>
    </w:p>
    <w:p>
      <w:pPr>
        <w:spacing w:after="120" w:line="276"/>
        <w:jc w:val="both"/>
      </w:pPr>
      <w:r>
        <w:rPr>
          <w:rFonts w:ascii="Tahoma" w:cs="Tahoma" w:eastAsia="Tahoma" w:hAnsi="Tahoma"/>
          <w:sz w:val="20"/>
          <w:szCs w:val="20"/>
        </w:rPr>
        <w:t xml:space="preserve">As a minimum, the CEMP shall contain the following components: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Introduction</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Project Description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Existing Environment and Construction Works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Roles and Responsibilities (including third-party consultation)</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KSA Legal and Regulatory Framework</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Environmental Permits and Approvals</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Environmental Risks and Opportunities</w:t>
      </w:r>
    </w:p>
    <w:p>
      <w:pPr>
        <w:spacing w:after="60" w:line="268"/>
        <w:ind w:left="540" w:hanging="270"/>
      </w:pPr>
      <w:r>
        <w:rPr>
          <w:rFonts w:ascii="Tahoma" w:cs="Tahoma" w:eastAsia="Tahoma" w:hAnsi="Tahoma"/>
          <w:b/>
          <w:bCs/>
          <w:color w:val="542A12"/>
          <w:sz w:val="20"/>
          <w:szCs w:val="20"/>
        </w:rPr>
        <w:t xml:space="preserve">8.  </w:t>
      </w:r>
      <w:r>
        <w:rPr>
          <w:rFonts w:ascii="Tahoma" w:cs="Tahoma" w:eastAsia="Tahoma" w:hAnsi="Tahoma"/>
          <w:sz w:val="20"/>
          <w:szCs w:val="20"/>
        </w:rPr>
        <w:t xml:space="preserve">Environmental Control Plan</w:t>
      </w:r>
    </w:p>
    <w:p>
      <w:pPr>
        <w:spacing w:after="60" w:line="268"/>
        <w:ind w:left="540" w:hanging="270"/>
      </w:pPr>
      <w:r>
        <w:rPr>
          <w:rFonts w:ascii="Tahoma" w:cs="Tahoma" w:eastAsia="Tahoma" w:hAnsi="Tahoma"/>
          <w:b/>
          <w:bCs/>
          <w:color w:val="542A12"/>
          <w:sz w:val="20"/>
          <w:szCs w:val="20"/>
        </w:rPr>
        <w:t xml:space="preserve">9.  </w:t>
      </w:r>
      <w:r>
        <w:rPr>
          <w:rFonts w:ascii="Tahoma" w:cs="Tahoma" w:eastAsia="Tahoma" w:hAnsi="Tahoma"/>
          <w:sz w:val="20"/>
          <w:szCs w:val="20"/>
        </w:rPr>
        <w:t xml:space="preserve">Implementation of the CEMP (including monitoring and reporting)</w:t>
      </w:r>
    </w:p>
    <w:p>
      <w:pPr>
        <w:spacing w:after="60" w:line="268"/>
        <w:ind w:left="540" w:hanging="270"/>
      </w:pPr>
      <w:r>
        <w:rPr>
          <w:rFonts w:ascii="Tahoma" w:cs="Tahoma" w:eastAsia="Tahoma" w:hAnsi="Tahoma"/>
          <w:b/>
          <w:bCs/>
          <w:color w:val="542A12"/>
          <w:sz w:val="20"/>
          <w:szCs w:val="20"/>
        </w:rPr>
        <w:t xml:space="preserve">10.  </w:t>
      </w:r>
      <w:r>
        <w:rPr>
          <w:rFonts w:ascii="Tahoma" w:cs="Tahoma" w:eastAsia="Tahoma" w:hAnsi="Tahoma"/>
          <w:sz w:val="20"/>
          <w:szCs w:val="20"/>
        </w:rPr>
        <w:t xml:space="preserve">Environmental Management Review</w:t>
      </w:r>
    </w:p>
    <w:p>
      <w:pPr>
        <w:pStyle w:val="Heading2"/>
      </w:pPr>
      <w:bookmarkStart w:id="9007" w:name="_DanToc9007"/>
      <w:r>
        <w:t xml:space="preserve">7.1 Introduction</w:t>
      </w:r>
      <w:bookmarkEnd w:id="9007"/>
    </w:p>
    <w:p>
      <w:pPr>
        <w:pStyle w:val="ListParagraph"/>
        <w:numPr>
          <w:ilvl w:val="0"/>
          <w:numId w:val="2"/>
        </w:numPr>
        <w:spacing w:after="60" w:line="268"/>
        <w:jc w:val="both"/>
      </w:pPr>
      <w:r>
        <w:rPr>
          <w:rFonts w:ascii="Tahoma" w:cs="Tahoma" w:eastAsia="Tahoma" w:hAnsi="Tahoma"/>
          <w:sz w:val="20"/>
          <w:szCs w:val="20"/>
        </w:rPr>
        <w:t xml:space="preserve">Specify the purpose and objectives of the CEMP — what it aims to achieve and why it is developed.</w:t>
      </w:r>
    </w:p>
    <w:p>
      <w:pPr>
        <w:pStyle w:val="ListParagraph"/>
        <w:numPr>
          <w:ilvl w:val="0"/>
          <w:numId w:val="2"/>
        </w:numPr>
        <w:spacing w:after="60" w:line="268"/>
        <w:jc w:val="both"/>
      </w:pPr>
      <w:r>
        <w:rPr>
          <w:rFonts w:ascii="Tahoma" w:cs="Tahoma" w:eastAsia="Tahoma" w:hAnsi="Tahoma"/>
          <w:sz w:val="20"/>
          <w:szCs w:val="20"/>
        </w:rPr>
        <w:t xml:space="preserve">Provide details of the scope and activities covered by the CEMP, and an outline of its structure.</w:t>
      </w:r>
    </w:p>
    <w:p>
      <w:pPr>
        <w:pStyle w:val="ListParagraph"/>
        <w:numPr>
          <w:ilvl w:val="0"/>
          <w:numId w:val="2"/>
        </w:numPr>
        <w:spacing w:after="60" w:line="268"/>
        <w:jc w:val="both"/>
      </w:pPr>
      <w:r>
        <w:rPr>
          <w:rFonts w:ascii="Tahoma" w:cs="Tahoma" w:eastAsia="Tahoma" w:hAnsi="Tahoma"/>
          <w:sz w:val="20"/>
          <w:szCs w:val="20"/>
        </w:rPr>
        <w:t xml:space="preserve">Provide a revision table at the start of the document (reference number, revision number, date of submission and approval).</w:t>
      </w:r>
    </w:p>
    <w:p>
      <w:pPr>
        <w:pStyle w:val="ListParagraph"/>
        <w:numPr>
          <w:ilvl w:val="0"/>
          <w:numId w:val="2"/>
        </w:numPr>
        <w:spacing w:after="60" w:line="268"/>
        <w:jc w:val="both"/>
      </w:pPr>
      <w:r>
        <w:rPr>
          <w:rFonts w:ascii="Tahoma" w:cs="Tahoma" w:eastAsia="Tahoma" w:hAnsi="Tahoma"/>
          <w:sz w:val="20"/>
          <w:szCs w:val="20"/>
        </w:rPr>
        <w:t xml:space="preserve">Include the terms and abbreviations used in the CEMP.</w:t>
      </w:r>
    </w:p>
    <w:p>
      <w:pPr>
        <w:pStyle w:val="ListParagraph"/>
        <w:numPr>
          <w:ilvl w:val="0"/>
          <w:numId w:val="2"/>
        </w:numPr>
        <w:spacing w:after="60" w:line="268"/>
        <w:jc w:val="both"/>
      </w:pPr>
      <w:r>
        <w:rPr>
          <w:rFonts w:ascii="Tahoma" w:cs="Tahoma" w:eastAsia="Tahoma" w:hAnsi="Tahoma"/>
          <w:sz w:val="20"/>
          <w:szCs w:val="20"/>
        </w:rPr>
        <w:t xml:space="preserve">A copy of the CONTRACTOR’s Environmental Policy, in line with ISO 14001 (where certified), may be attached.</w:t>
      </w:r>
    </w:p>
    <w:p>
      <w:pPr>
        <w:pStyle w:val="Heading2"/>
      </w:pPr>
      <w:bookmarkStart w:id="9008" w:name="_DanToc9008"/>
      <w:r>
        <w:t xml:space="preserve">7.2 Project Description</w:t>
      </w:r>
      <w:bookmarkEnd w:id="9008"/>
    </w:p>
    <w:p>
      <w:pPr>
        <w:pStyle w:val="ListParagraph"/>
        <w:numPr>
          <w:ilvl w:val="0"/>
          <w:numId w:val="2"/>
        </w:numPr>
        <w:spacing w:after="60" w:line="268"/>
        <w:jc w:val="both"/>
      </w:pPr>
      <w:r>
        <w:rPr>
          <w:rFonts w:ascii="Tahoma" w:cs="Tahoma" w:eastAsia="Tahoma" w:hAnsi="Tahoma"/>
          <w:sz w:val="20"/>
          <w:szCs w:val="20"/>
        </w:rPr>
        <w:t xml:space="preserve">Provide a brief overview of the Project or Contract, including the context and background on which the CEMP is prepared.</w:t>
      </w:r>
    </w:p>
    <w:p>
      <w:pPr>
        <w:pStyle w:val="Heading2"/>
      </w:pPr>
      <w:bookmarkStart w:id="9009" w:name="_DanToc9009"/>
      <w:r>
        <w:t xml:space="preserve">7.3 Existing Environment and Construction Works</w:t>
      </w:r>
      <w:bookmarkEnd w:id="9009"/>
    </w:p>
    <w:p>
      <w:pPr>
        <w:pStyle w:val="ListParagraph"/>
        <w:numPr>
          <w:ilvl w:val="0"/>
          <w:numId w:val="2"/>
        </w:numPr>
        <w:spacing w:after="60" w:line="268"/>
        <w:jc w:val="both"/>
      </w:pPr>
      <w:r>
        <w:rPr>
          <w:rFonts w:ascii="Tahoma" w:cs="Tahoma" w:eastAsia="Tahoma" w:hAnsi="Tahoma"/>
          <w:sz w:val="20"/>
          <w:szCs w:val="20"/>
        </w:rPr>
        <w:t xml:space="preserve">Describe the existing environment in which the Project will be constructed.</w:t>
      </w:r>
    </w:p>
    <w:p>
      <w:pPr>
        <w:pStyle w:val="ListParagraph"/>
        <w:numPr>
          <w:ilvl w:val="0"/>
          <w:numId w:val="2"/>
        </w:numPr>
        <w:spacing w:after="60" w:line="268"/>
        <w:jc w:val="both"/>
      </w:pPr>
      <w:r>
        <w:rPr>
          <w:rFonts w:ascii="Tahoma" w:cs="Tahoma" w:eastAsia="Tahoma" w:hAnsi="Tahoma"/>
          <w:sz w:val="20"/>
          <w:szCs w:val="20"/>
        </w:rPr>
        <w:t xml:space="preserve">Obtain baseline data from the project EIA study where one was carried out; otherwise obtain related data to accurately characterise the type, nature and sensitivity of the baseline environment.</w:t>
      </w:r>
    </w:p>
    <w:p>
      <w:pPr>
        <w:pStyle w:val="ListParagraph"/>
        <w:numPr>
          <w:ilvl w:val="0"/>
          <w:numId w:val="2"/>
        </w:numPr>
        <w:spacing w:after="60" w:line="268"/>
        <w:jc w:val="both"/>
      </w:pPr>
      <w:r>
        <w:rPr>
          <w:rFonts w:ascii="Tahoma" w:cs="Tahoma" w:eastAsia="Tahoma" w:hAnsi="Tahoma"/>
          <w:sz w:val="20"/>
          <w:szCs w:val="20"/>
        </w:rPr>
        <w:t xml:space="preserve">Outline all activities and ancillary facilities works to be undertaken during the construction phase(s).</w:t>
      </w:r>
    </w:p>
    <w:p>
      <w:pPr>
        <w:pStyle w:val="Heading2"/>
      </w:pPr>
      <w:bookmarkStart w:id="9010" w:name="_DanToc9010"/>
      <w:r>
        <w:t xml:space="preserve">7.4 Roles and Responsibilities (including Third-Party Consultation)</w:t>
      </w:r>
      <w:bookmarkEnd w:id="9010"/>
    </w:p>
    <w:p>
      <w:pPr>
        <w:spacing w:after="120" w:line="276"/>
        <w:jc w:val="both"/>
      </w:pPr>
      <w:r>
        <w:rPr>
          <w:rFonts w:ascii="Tahoma" w:cs="Tahoma" w:eastAsia="Tahoma" w:hAnsi="Tahoma"/>
          <w:sz w:val="20"/>
          <w:szCs w:val="20"/>
        </w:rPr>
        <w:t xml:space="preserve">Define the roles and responsibilities of the key personnel implementing the CEMP, as a minimum:</w:t>
      </w:r>
    </w:p>
    <w:p>
      <w:pPr>
        <w:pStyle w:val="ListParagraph"/>
        <w:numPr>
          <w:ilvl w:val="0"/>
          <w:numId w:val="2"/>
        </w:numPr>
        <w:spacing w:after="60" w:line="268"/>
        <w:jc w:val="both"/>
      </w:pPr>
      <w:r>
        <w:rPr>
          <w:rFonts w:ascii="Tahoma" w:cs="Tahoma" w:eastAsia="Tahoma" w:hAnsi="Tahoma"/>
          <w:sz w:val="20"/>
          <w:szCs w:val="20"/>
        </w:rPr>
        <w:t xml:space="preserve">Project Director / Manager</w:t>
      </w:r>
    </w:p>
    <w:p>
      <w:pPr>
        <w:pStyle w:val="ListParagraph"/>
        <w:numPr>
          <w:ilvl w:val="0"/>
          <w:numId w:val="2"/>
        </w:numPr>
        <w:spacing w:after="60" w:line="268"/>
        <w:jc w:val="both"/>
      </w:pPr>
      <w:r>
        <w:rPr>
          <w:rFonts w:ascii="Tahoma" w:cs="Tahoma" w:eastAsia="Tahoma" w:hAnsi="Tahoma"/>
          <w:sz w:val="20"/>
          <w:szCs w:val="20"/>
        </w:rPr>
        <w:t xml:space="preserve">Construction Manager</w:t>
      </w:r>
    </w:p>
    <w:p>
      <w:pPr>
        <w:pStyle w:val="ListParagraph"/>
        <w:numPr>
          <w:ilvl w:val="0"/>
          <w:numId w:val="2"/>
        </w:numPr>
        <w:spacing w:after="60" w:line="268"/>
        <w:jc w:val="both"/>
      </w:pPr>
      <w:r>
        <w:rPr>
          <w:rFonts w:ascii="Tahoma" w:cs="Tahoma" w:eastAsia="Tahoma" w:hAnsi="Tahoma"/>
          <w:sz w:val="20"/>
          <w:szCs w:val="20"/>
        </w:rPr>
        <w:t xml:space="preserve">SH&amp;E Manager</w:t>
      </w:r>
    </w:p>
    <w:p>
      <w:pPr>
        <w:pStyle w:val="ListParagraph"/>
        <w:numPr>
          <w:ilvl w:val="0"/>
          <w:numId w:val="2"/>
        </w:numPr>
        <w:spacing w:after="60" w:line="268"/>
        <w:jc w:val="both"/>
      </w:pPr>
      <w:r>
        <w:rPr>
          <w:rFonts w:ascii="Tahoma" w:cs="Tahoma" w:eastAsia="Tahoma" w:hAnsi="Tahoma"/>
          <w:sz w:val="20"/>
          <w:szCs w:val="20"/>
        </w:rPr>
        <w:t xml:space="preserve">Environmental Representative (Manager or Engineer)</w:t>
      </w:r>
    </w:p>
    <w:p>
      <w:pPr>
        <w:pStyle w:val="ListParagraph"/>
        <w:numPr>
          <w:ilvl w:val="0"/>
          <w:numId w:val="2"/>
        </w:numPr>
        <w:spacing w:after="60" w:line="268"/>
        <w:jc w:val="both"/>
      </w:pPr>
      <w:r>
        <w:rPr>
          <w:rFonts w:ascii="Tahoma" w:cs="Tahoma" w:eastAsia="Tahoma" w:hAnsi="Tahoma"/>
          <w:sz w:val="20"/>
          <w:szCs w:val="20"/>
        </w:rPr>
        <w:t xml:space="preserve">SH&amp;E Engineer / Officer</w:t>
      </w:r>
    </w:p>
    <w:p>
      <w:pPr>
        <w:spacing w:after="120" w:line="276"/>
        <w:jc w:val="both"/>
      </w:pPr>
      <w:r>
        <w:rPr>
          <w:rFonts w:ascii="Tahoma" w:cs="Tahoma" w:eastAsia="Tahoma" w:hAnsi="Tahoma"/>
          <w:sz w:val="20"/>
          <w:szCs w:val="20"/>
        </w:rPr>
        <w:t xml:space="preserve">The qualifications, skills and experience of the Environmental Manager or Engineer shall be in line with the Qualification Requirements for CONTRACTOR SH&amp;E Personnel. Provide details of interfaces with key stakeholders, including the DAN SH&amp;E Department, the DAN Representative, MEWA and other concerned government organisations.</w:t>
      </w:r>
    </w:p>
    <w:p>
      <w:pPr>
        <w:pStyle w:val="Heading2"/>
      </w:pPr>
      <w:bookmarkStart w:id="9011" w:name="_DanToc9011"/>
      <w:r>
        <w:t xml:space="preserve">7.5 KSA Legal and Regulatory Framework</w:t>
      </w:r>
      <w:bookmarkEnd w:id="9011"/>
    </w:p>
    <w:p>
      <w:pPr>
        <w:pStyle w:val="ListParagraph"/>
        <w:numPr>
          <w:ilvl w:val="0"/>
          <w:numId w:val="2"/>
        </w:numPr>
        <w:spacing w:after="60" w:line="268"/>
        <w:jc w:val="both"/>
      </w:pPr>
      <w:r>
        <w:rPr>
          <w:rFonts w:ascii="Tahoma" w:cs="Tahoma" w:eastAsia="Tahoma" w:hAnsi="Tahoma"/>
          <w:sz w:val="20"/>
          <w:szCs w:val="20"/>
        </w:rPr>
        <w:t xml:space="preserve">Develop and maintain a register of applicable laws and legislation, including international best practices and DAN internal standards, with the date and version of each.</w:t>
      </w:r>
    </w:p>
    <w:p>
      <w:pPr>
        <w:pStyle w:val="ListParagraph"/>
        <w:numPr>
          <w:ilvl w:val="0"/>
          <w:numId w:val="2"/>
        </w:numPr>
        <w:spacing w:after="60" w:line="268"/>
        <w:jc w:val="both"/>
      </w:pPr>
      <w:r>
        <w:rPr>
          <w:rFonts w:ascii="Tahoma" w:cs="Tahoma" w:eastAsia="Tahoma" w:hAnsi="Tahoma"/>
          <w:sz w:val="20"/>
          <w:szCs w:val="20"/>
        </w:rPr>
        <w:t xml:space="preserve">Review, update and maintain the register on a monthly basis for the duration of construction activities.</w:t>
      </w:r>
    </w:p>
    <w:p>
      <w:pPr>
        <w:pStyle w:val="Heading2"/>
      </w:pPr>
      <w:bookmarkStart w:id="9012" w:name="_DanToc9012"/>
      <w:r>
        <w:t xml:space="preserve">7.6 Environmental Permits and Approvals</w:t>
      </w:r>
      <w:bookmarkEnd w:id="9012"/>
    </w:p>
    <w:p>
      <w:pPr>
        <w:spacing w:after="120" w:line="276"/>
        <w:jc w:val="both"/>
      </w:pPr>
      <w:r>
        <w:rPr>
          <w:rFonts w:ascii="Tahoma" w:cs="Tahoma" w:eastAsia="Tahoma" w:hAnsi="Tahoma"/>
          <w:sz w:val="20"/>
          <w:szCs w:val="20"/>
        </w:rPr>
        <w:t xml:space="preserve">The CONTRACTOR is responsible for all environmental permits required during construction — applying for, obtaining and implementing them. All environmental submissions to governing authorities are subject to review by the DAN Representative. The CONTRACTOR shall implement and maintain a monthly Environmental Compliance Log indicating permit conditions and their state of compliance.</w:t>
      </w:r>
    </w:p>
    <w:p>
      <w:pPr>
        <w:pStyle w:val="Heading2"/>
      </w:pPr>
      <w:bookmarkStart w:id="9013" w:name="_DanToc9013"/>
      <w:r>
        <w:t xml:space="preserve">7.7 Environmental Risks and Opportunities</w:t>
      </w:r>
      <w:bookmarkEnd w:id="9013"/>
    </w:p>
    <w:p>
      <w:pPr>
        <w:spacing w:after="120" w:line="276"/>
        <w:jc w:val="both"/>
      </w:pPr>
      <w:r>
        <w:rPr>
          <w:rFonts w:ascii="Tahoma" w:cs="Tahoma" w:eastAsia="Tahoma" w:hAnsi="Tahoma"/>
          <w:sz w:val="20"/>
          <w:szCs w:val="20"/>
        </w:rPr>
        <w:t xml:space="preserve">Identify project-specific environmental risks of the proposed construction activities and the associated opportunities for improvement, including but not limited to:</w:t>
      </w:r>
    </w:p>
    <w:p>
      <w:pPr>
        <w:pStyle w:val="ListParagraph"/>
        <w:numPr>
          <w:ilvl w:val="0"/>
          <w:numId w:val="2"/>
        </w:numPr>
        <w:spacing w:after="60" w:line="268"/>
        <w:jc w:val="both"/>
      </w:pPr>
      <w:r>
        <w:rPr>
          <w:rFonts w:ascii="Tahoma" w:cs="Tahoma" w:eastAsia="Tahoma" w:hAnsi="Tahoma"/>
          <w:sz w:val="20"/>
          <w:szCs w:val="20"/>
        </w:rPr>
        <w:t xml:space="preserve">Water resources and conservation</w:t>
      </w:r>
    </w:p>
    <w:p>
      <w:pPr>
        <w:pStyle w:val="ListParagraph"/>
        <w:numPr>
          <w:ilvl w:val="0"/>
          <w:numId w:val="2"/>
        </w:numPr>
        <w:spacing w:after="60" w:line="268"/>
        <w:jc w:val="both"/>
      </w:pPr>
      <w:r>
        <w:rPr>
          <w:rFonts w:ascii="Tahoma" w:cs="Tahoma" w:eastAsia="Tahoma" w:hAnsi="Tahoma"/>
          <w:sz w:val="20"/>
          <w:szCs w:val="20"/>
        </w:rPr>
        <w:t xml:space="preserve">Energy consumption and renewable energy</w:t>
      </w:r>
    </w:p>
    <w:p>
      <w:pPr>
        <w:pStyle w:val="ListParagraph"/>
        <w:numPr>
          <w:ilvl w:val="0"/>
          <w:numId w:val="2"/>
        </w:numPr>
        <w:spacing w:after="60" w:line="268"/>
        <w:jc w:val="both"/>
      </w:pPr>
      <w:r>
        <w:rPr>
          <w:rFonts w:ascii="Tahoma" w:cs="Tahoma" w:eastAsia="Tahoma" w:hAnsi="Tahoma"/>
          <w:sz w:val="20"/>
          <w:szCs w:val="20"/>
        </w:rPr>
        <w:t xml:space="preserve">Pollution management (land, air, water, wastewater and noise)</w:t>
      </w:r>
    </w:p>
    <w:p>
      <w:pPr>
        <w:pStyle w:val="ListParagraph"/>
        <w:numPr>
          <w:ilvl w:val="0"/>
          <w:numId w:val="2"/>
        </w:numPr>
        <w:spacing w:after="60" w:line="268"/>
        <w:jc w:val="both"/>
      </w:pPr>
      <w:r>
        <w:rPr>
          <w:rFonts w:ascii="Tahoma" w:cs="Tahoma" w:eastAsia="Tahoma" w:hAnsi="Tahoma"/>
          <w:sz w:val="20"/>
          <w:szCs w:val="20"/>
        </w:rPr>
        <w:t xml:space="preserve">Materials resource efficiency and ecology</w:t>
      </w:r>
    </w:p>
    <w:p>
      <w:pPr>
        <w:pStyle w:val="ListParagraph"/>
        <w:numPr>
          <w:ilvl w:val="0"/>
          <w:numId w:val="2"/>
        </w:numPr>
        <w:spacing w:after="60" w:line="268"/>
        <w:jc w:val="both"/>
      </w:pPr>
      <w:r>
        <w:rPr>
          <w:rFonts w:ascii="Tahoma" w:cs="Tahoma" w:eastAsia="Tahoma" w:hAnsi="Tahoma"/>
          <w:sz w:val="20"/>
          <w:szCs w:val="20"/>
        </w:rPr>
        <w:t xml:space="preserve">Natural habitat and biodiversity</w:t>
      </w:r>
    </w:p>
    <w:p>
      <w:pPr>
        <w:spacing w:after="120" w:line="276"/>
        <w:jc w:val="both"/>
      </w:pPr>
      <w:r>
        <w:rPr>
          <w:rFonts w:ascii="Tahoma" w:cs="Tahoma" w:eastAsia="Tahoma" w:hAnsi="Tahoma"/>
          <w:sz w:val="20"/>
          <w:szCs w:val="20"/>
        </w:rPr>
        <w:t xml:space="preserve">Environmental risk shall be ranked using consequence and likelihood criteria, considering the degree of control the CONTRACTOR has, the likelihood of occurrence, the severity, and the actions required to mitigate the risk. All environmental risks shall be logged in the Project SH&amp;E Risk Register, kept current through monthly risk reviews and progress reporting, and shall include impacts arising under normal, abnormal or emergency conditions.</w:t>
      </w:r>
    </w:p>
    <w:p>
      <w:pPr>
        <w:pStyle w:val="Heading2"/>
      </w:pPr>
      <w:bookmarkStart w:id="9014" w:name="_DanToc9014"/>
      <w:r>
        <w:t xml:space="preserve">7.8 Environmental Control Plan (ECP)</w:t>
      </w:r>
      <w:bookmarkEnd w:id="9014"/>
    </w:p>
    <w:p>
      <w:pPr>
        <w:spacing w:after="120" w:line="276"/>
        <w:jc w:val="both"/>
      </w:pPr>
      <w:r>
        <w:rPr>
          <w:rFonts w:ascii="Tahoma" w:cs="Tahoma" w:eastAsia="Tahoma" w:hAnsi="Tahoma"/>
          <w:sz w:val="20"/>
          <w:szCs w:val="20"/>
        </w:rPr>
        <w:t xml:space="preserve">The ECP sets out suitable mitigation and control measures (both engineering and administrative) to minimise the identified environmental risks, aiming to achieve ALARP. The ECP may be provided as an appendix to the CEMP and shall be given a specific reference and revision number. As a minimum, the ECP shall address:</w:t>
      </w:r>
    </w:p>
    <w:p>
      <w:pPr>
        <w:pStyle w:val="ListParagraph"/>
        <w:numPr>
          <w:ilvl w:val="0"/>
          <w:numId w:val="2"/>
        </w:numPr>
        <w:spacing w:after="60" w:line="268"/>
        <w:jc w:val="both"/>
      </w:pPr>
      <w:r>
        <w:rPr>
          <w:rFonts w:ascii="Tahoma" w:cs="Tahoma" w:eastAsia="Tahoma" w:hAnsi="Tahoma"/>
          <w:sz w:val="20"/>
          <w:szCs w:val="20"/>
        </w:rPr>
        <w:t xml:space="preserve">Dust emissions</w:t>
      </w:r>
    </w:p>
    <w:p>
      <w:pPr>
        <w:pStyle w:val="ListParagraph"/>
        <w:numPr>
          <w:ilvl w:val="0"/>
          <w:numId w:val="2"/>
        </w:numPr>
        <w:spacing w:after="60" w:line="268"/>
        <w:jc w:val="both"/>
      </w:pPr>
      <w:r>
        <w:rPr>
          <w:rFonts w:ascii="Tahoma" w:cs="Tahoma" w:eastAsia="Tahoma" w:hAnsi="Tahoma"/>
          <w:sz w:val="20"/>
          <w:szCs w:val="20"/>
        </w:rPr>
        <w:t xml:space="preserve">Air quality and management (fuel burning, mobile plant and equipment)</w:t>
      </w:r>
    </w:p>
    <w:p>
      <w:pPr>
        <w:pStyle w:val="ListParagraph"/>
        <w:numPr>
          <w:ilvl w:val="0"/>
          <w:numId w:val="2"/>
        </w:numPr>
        <w:spacing w:after="60" w:line="268"/>
        <w:jc w:val="both"/>
      </w:pPr>
      <w:r>
        <w:rPr>
          <w:rFonts w:ascii="Tahoma" w:cs="Tahoma" w:eastAsia="Tahoma" w:hAnsi="Tahoma"/>
          <w:sz w:val="20"/>
          <w:szCs w:val="20"/>
        </w:rPr>
        <w:t xml:space="preserve">Noise</w:t>
      </w:r>
    </w:p>
    <w:p>
      <w:pPr>
        <w:pStyle w:val="ListParagraph"/>
        <w:numPr>
          <w:ilvl w:val="0"/>
          <w:numId w:val="2"/>
        </w:numPr>
        <w:spacing w:after="60" w:line="268"/>
        <w:jc w:val="both"/>
      </w:pPr>
      <w:r>
        <w:rPr>
          <w:rFonts w:ascii="Tahoma" w:cs="Tahoma" w:eastAsia="Tahoma" w:hAnsi="Tahoma"/>
          <w:sz w:val="20"/>
          <w:szCs w:val="20"/>
        </w:rPr>
        <w:t xml:space="preserve">Materials management</w:t>
      </w:r>
    </w:p>
    <w:p>
      <w:pPr>
        <w:pStyle w:val="ListParagraph"/>
        <w:numPr>
          <w:ilvl w:val="0"/>
          <w:numId w:val="2"/>
        </w:numPr>
        <w:spacing w:after="60" w:line="268"/>
        <w:jc w:val="both"/>
      </w:pPr>
      <w:r>
        <w:rPr>
          <w:rFonts w:ascii="Tahoma" w:cs="Tahoma" w:eastAsia="Tahoma" w:hAnsi="Tahoma"/>
          <w:sz w:val="20"/>
          <w:szCs w:val="20"/>
        </w:rPr>
        <w:t xml:space="preserve">Waste management (may be linked to a Construction Waste Management Plan)</w:t>
      </w:r>
    </w:p>
    <w:p>
      <w:pPr>
        <w:pStyle w:val="ListParagraph"/>
        <w:numPr>
          <w:ilvl w:val="0"/>
          <w:numId w:val="2"/>
        </w:numPr>
        <w:spacing w:after="60" w:line="268"/>
        <w:jc w:val="both"/>
      </w:pPr>
      <w:r>
        <w:rPr>
          <w:rFonts w:ascii="Tahoma" w:cs="Tahoma" w:eastAsia="Tahoma" w:hAnsi="Tahoma"/>
          <w:sz w:val="20"/>
          <w:szCs w:val="20"/>
        </w:rPr>
        <w:t xml:space="preserve">Chemical management (may be linked to a Chemical Management Plan)</w:t>
      </w:r>
    </w:p>
    <w:p>
      <w:pPr>
        <w:pStyle w:val="ListParagraph"/>
        <w:numPr>
          <w:ilvl w:val="0"/>
          <w:numId w:val="2"/>
        </w:numPr>
        <w:spacing w:after="60" w:line="268"/>
        <w:jc w:val="both"/>
      </w:pPr>
      <w:r>
        <w:rPr>
          <w:rFonts w:ascii="Tahoma" w:cs="Tahoma" w:eastAsia="Tahoma" w:hAnsi="Tahoma"/>
          <w:sz w:val="20"/>
          <w:szCs w:val="20"/>
        </w:rPr>
        <w:t xml:space="preserve">Environmental resource conservation — biodiversity (flora and fauna) and water</w:t>
      </w:r>
    </w:p>
    <w:p>
      <w:pPr>
        <w:pStyle w:val="ListParagraph"/>
        <w:numPr>
          <w:ilvl w:val="0"/>
          <w:numId w:val="2"/>
        </w:numPr>
        <w:spacing w:after="60" w:line="268"/>
        <w:jc w:val="both"/>
      </w:pPr>
      <w:r>
        <w:rPr>
          <w:rFonts w:ascii="Tahoma" w:cs="Tahoma" w:eastAsia="Tahoma" w:hAnsi="Tahoma"/>
          <w:sz w:val="20"/>
          <w:szCs w:val="20"/>
        </w:rPr>
        <w:t xml:space="preserve">Environmental incident procedures (spill and emergency response)</w:t>
      </w:r>
    </w:p>
    <w:p>
      <w:pPr>
        <w:pStyle w:val="ListParagraph"/>
        <w:numPr>
          <w:ilvl w:val="0"/>
          <w:numId w:val="2"/>
        </w:numPr>
        <w:spacing w:after="60" w:line="268"/>
        <w:jc w:val="both"/>
      </w:pPr>
      <w:r>
        <w:rPr>
          <w:rFonts w:ascii="Tahoma" w:cs="Tahoma" w:eastAsia="Tahoma" w:hAnsi="Tahoma"/>
          <w:sz w:val="20"/>
          <w:szCs w:val="20"/>
        </w:rPr>
        <w:t xml:space="preserve">Complaint control plan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Each ECP shall provide the purpose, scope, responsibilities, references, identifications, procedures and documentation requirements of its specific procedures. A comprehensive Environmental Impact and Aspect Assessment Register shall be prepared.</w:t>
      </w:r>
    </w:p>
    <w:p>
      <w:pPr>
        <w:pStyle w:val="Heading2"/>
      </w:pPr>
      <w:bookmarkStart w:id="9015" w:name="_DanToc9015"/>
      <w:r>
        <w:t xml:space="preserve">7.9 Implementation of the CEMP</w:t>
      </w:r>
      <w:bookmarkEnd w:id="9015"/>
    </w:p>
    <w:p>
      <w:pPr>
        <w:spacing w:after="120" w:line="276"/>
        <w:jc w:val="both"/>
      </w:pPr>
      <w:r>
        <w:rPr>
          <w:rFonts w:ascii="Tahoma" w:cs="Tahoma" w:eastAsia="Tahoma" w:hAnsi="Tahoma"/>
          <w:sz w:val="20"/>
          <w:szCs w:val="20"/>
        </w:rPr>
        <w:t xml:space="preserve">CEMP implementation shall, as a minimum, address the following:</w:t>
      </w:r>
    </w:p>
    <w:p>
      <w:pPr>
        <w:pStyle w:val="ListParagraph"/>
        <w:numPr>
          <w:ilvl w:val="0"/>
          <w:numId w:val="2"/>
        </w:numPr>
        <w:spacing w:after="60" w:line="268"/>
        <w:jc w:val="both"/>
      </w:pPr>
      <w:r>
        <w:rPr>
          <w:rFonts w:ascii="Tahoma" w:cs="Tahoma" w:eastAsia="Tahoma" w:hAnsi="Tahoma"/>
          <w:sz w:val="20"/>
          <w:szCs w:val="20"/>
        </w:rPr>
        <w:t xml:space="preserve">Environmental objectives and targets (KPIs)</w:t>
      </w:r>
    </w:p>
    <w:p>
      <w:pPr>
        <w:pStyle w:val="ListParagraph"/>
        <w:numPr>
          <w:ilvl w:val="0"/>
          <w:numId w:val="2"/>
        </w:numPr>
        <w:spacing w:after="60" w:line="268"/>
        <w:jc w:val="both"/>
      </w:pPr>
      <w:r>
        <w:rPr>
          <w:rFonts w:ascii="Tahoma" w:cs="Tahoma" w:eastAsia="Tahoma" w:hAnsi="Tahoma"/>
          <w:sz w:val="20"/>
          <w:szCs w:val="20"/>
        </w:rPr>
        <w:t xml:space="preserve">Environmental risks and opportunities</w:t>
      </w:r>
    </w:p>
    <w:p>
      <w:pPr>
        <w:pStyle w:val="ListParagraph"/>
        <w:numPr>
          <w:ilvl w:val="0"/>
          <w:numId w:val="2"/>
        </w:numPr>
        <w:spacing w:after="60" w:line="268"/>
        <w:jc w:val="both"/>
      </w:pPr>
      <w:r>
        <w:rPr>
          <w:rFonts w:ascii="Tahoma" w:cs="Tahoma" w:eastAsia="Tahoma" w:hAnsi="Tahoma"/>
          <w:sz w:val="20"/>
          <w:szCs w:val="20"/>
        </w:rPr>
        <w:t xml:space="preserve">Environmental awareness training and induction</w:t>
      </w:r>
    </w:p>
    <w:p>
      <w:pPr>
        <w:pStyle w:val="ListParagraph"/>
        <w:numPr>
          <w:ilvl w:val="0"/>
          <w:numId w:val="2"/>
        </w:numPr>
        <w:spacing w:after="60" w:line="268"/>
        <w:jc w:val="both"/>
      </w:pPr>
      <w:r>
        <w:rPr>
          <w:rFonts w:ascii="Tahoma" w:cs="Tahoma" w:eastAsia="Tahoma" w:hAnsi="Tahoma"/>
          <w:sz w:val="20"/>
          <w:szCs w:val="20"/>
        </w:rPr>
        <w:t xml:space="preserve">Environmental monitoring procedure</w:t>
      </w:r>
    </w:p>
    <w:p>
      <w:pPr>
        <w:pStyle w:val="ListParagraph"/>
        <w:numPr>
          <w:ilvl w:val="0"/>
          <w:numId w:val="2"/>
        </w:numPr>
        <w:spacing w:after="60" w:line="268"/>
        <w:jc w:val="both"/>
      </w:pPr>
      <w:r>
        <w:rPr>
          <w:rFonts w:ascii="Tahoma" w:cs="Tahoma" w:eastAsia="Tahoma" w:hAnsi="Tahoma"/>
          <w:sz w:val="20"/>
          <w:szCs w:val="20"/>
        </w:rPr>
        <w:t xml:space="preserve">Environmental auditing and inspection procedure</w:t>
      </w:r>
    </w:p>
    <w:p>
      <w:pPr>
        <w:pStyle w:val="ListParagraph"/>
        <w:numPr>
          <w:ilvl w:val="0"/>
          <w:numId w:val="2"/>
        </w:numPr>
        <w:spacing w:after="60" w:line="268"/>
        <w:jc w:val="both"/>
      </w:pPr>
      <w:r>
        <w:rPr>
          <w:rFonts w:ascii="Tahoma" w:cs="Tahoma" w:eastAsia="Tahoma" w:hAnsi="Tahoma"/>
          <w:sz w:val="20"/>
          <w:szCs w:val="20"/>
        </w:rPr>
        <w:t xml:space="preserve">Environmental incident and emergency-management procedure</w:t>
      </w:r>
    </w:p>
    <w:p>
      <w:pPr>
        <w:pStyle w:val="ListParagraph"/>
        <w:numPr>
          <w:ilvl w:val="0"/>
          <w:numId w:val="2"/>
        </w:numPr>
        <w:spacing w:after="60" w:line="268"/>
        <w:jc w:val="both"/>
      </w:pPr>
      <w:r>
        <w:rPr>
          <w:rFonts w:ascii="Tahoma" w:cs="Tahoma" w:eastAsia="Tahoma" w:hAnsi="Tahoma"/>
          <w:sz w:val="20"/>
          <w:szCs w:val="20"/>
        </w:rPr>
        <w:t xml:space="preserve">Environmental non-conformance</w:t>
      </w:r>
    </w:p>
    <w:p>
      <w:pPr>
        <w:pStyle w:val="ListParagraph"/>
        <w:numPr>
          <w:ilvl w:val="0"/>
          <w:numId w:val="2"/>
        </w:numPr>
        <w:spacing w:after="60" w:line="268"/>
        <w:jc w:val="both"/>
      </w:pPr>
      <w:r>
        <w:rPr>
          <w:rFonts w:ascii="Tahoma" w:cs="Tahoma" w:eastAsia="Tahoma" w:hAnsi="Tahoma"/>
          <w:sz w:val="20"/>
          <w:szCs w:val="20"/>
        </w:rPr>
        <w:t xml:space="preserve">Record-keeping and environmental reporting</w:t>
      </w:r>
    </w:p>
    <w:p>
      <w:pPr>
        <w:pStyle w:val="ListParagraph"/>
        <w:numPr>
          <w:ilvl w:val="0"/>
          <w:numId w:val="2"/>
        </w:numPr>
        <w:spacing w:after="60" w:line="268"/>
        <w:jc w:val="both"/>
      </w:pPr>
      <w:r>
        <w:rPr>
          <w:rFonts w:ascii="Tahoma" w:cs="Tahoma" w:eastAsia="Tahoma" w:hAnsi="Tahoma"/>
          <w:sz w:val="20"/>
          <w:szCs w:val="20"/>
        </w:rPr>
        <w:t xml:space="preserve">Control of the CEMP</w:t>
      </w:r>
    </w:p>
    <w:p>
      <w:pPr>
        <w:keepNext/>
        <w:spacing w:after="80" w:before="160"/>
      </w:pPr>
      <w:r>
        <w:rPr>
          <w:rFonts w:ascii="Tahoma" w:cs="Tahoma" w:eastAsia="Tahoma" w:hAnsi="Tahoma"/>
          <w:b/>
          <w:bCs/>
          <w:color w:val="B5692B"/>
          <w:sz w:val="20"/>
          <w:szCs w:val="20"/>
        </w:rPr>
        <w:t xml:space="preserve">7.9.1 Environmental Objectives and Targets (KPIs)</w:t>
      </w:r>
    </w:p>
    <w:p>
      <w:pPr>
        <w:spacing w:after="120" w:line="276"/>
        <w:jc w:val="both"/>
      </w:pPr>
      <w:r>
        <w:rPr>
          <w:rFonts w:ascii="Tahoma" w:cs="Tahoma" w:eastAsia="Tahoma" w:hAnsi="Tahoma"/>
          <w:sz w:val="20"/>
          <w:szCs w:val="20"/>
        </w:rPr>
        <w:t xml:space="preserve">The CEMP shall set realistic, achievable and time-based KPIs for the CONTRACTOR. Performance shall be reviewed against these objectives and targets on a monthly or other pre-defined basis.</w:t>
      </w:r>
    </w:p>
    <w:p>
      <w:pPr>
        <w:keepNext/>
        <w:spacing w:after="80" w:before="160"/>
      </w:pPr>
      <w:r>
        <w:rPr>
          <w:rFonts w:ascii="Tahoma" w:cs="Tahoma" w:eastAsia="Tahoma" w:hAnsi="Tahoma"/>
          <w:b/>
          <w:bCs/>
          <w:color w:val="B5692B"/>
          <w:sz w:val="20"/>
          <w:szCs w:val="20"/>
        </w:rPr>
        <w:t xml:space="preserve">7.9.2 Environmental Awareness Training and Induction</w:t>
      </w:r>
    </w:p>
    <w:p>
      <w:pPr>
        <w:spacing w:after="120" w:line="276"/>
        <w:jc w:val="both"/>
      </w:pPr>
      <w:r>
        <w:rPr>
          <w:rFonts w:ascii="Tahoma" w:cs="Tahoma" w:eastAsia="Tahoma" w:hAnsi="Tahoma"/>
          <w:sz w:val="20"/>
          <w:szCs w:val="20"/>
        </w:rPr>
        <w:t xml:space="preserve">All personnel shall receive environmental training upon joining the project. The CONTRACTOR shall maintain a training-record log of course outlines and attendance. As a minimum, training shall cover applicable environmental laws and guidelines; general environmental considerations and potential site issues; personnel roles and responsibilities; procedures to minimise environmental impacts; handling, storage, transport and disposal of waste; incident-response procedures (e.g. spill response); environmental monitoring; inspection and audit procedures; and record-keeping and close-out of open issues.</w:t>
      </w:r>
    </w:p>
    <w:p>
      <w:pPr>
        <w:keepNext/>
        <w:spacing w:after="80" w:before="160"/>
      </w:pPr>
      <w:r>
        <w:rPr>
          <w:rFonts w:ascii="Tahoma" w:cs="Tahoma" w:eastAsia="Tahoma" w:hAnsi="Tahoma"/>
          <w:b/>
          <w:bCs/>
          <w:color w:val="B5692B"/>
          <w:sz w:val="20"/>
          <w:szCs w:val="20"/>
        </w:rPr>
        <w:t xml:space="preserve">7.9.3 Environmental Monitoring Procedure</w:t>
      </w:r>
    </w:p>
    <w:p>
      <w:pPr>
        <w:spacing w:after="120" w:line="276"/>
        <w:jc w:val="both"/>
      </w:pPr>
      <w:r>
        <w:rPr>
          <w:rFonts w:ascii="Tahoma" w:cs="Tahoma" w:eastAsia="Tahoma" w:hAnsi="Tahoma"/>
          <w:sz w:val="20"/>
          <w:szCs w:val="20"/>
        </w:rPr>
        <w:t xml:space="preserve">Environmental monitoring requirements provided to the concerned authorities shall, as a minimum, address the monitoring methodology, location, frequency, duration, equipment specifications and reporting frequency.</w:t>
      </w:r>
    </w:p>
    <w:p>
      <w:pPr>
        <w:keepNext/>
        <w:spacing w:after="80" w:before="160"/>
      </w:pPr>
      <w:r>
        <w:rPr>
          <w:rFonts w:ascii="Tahoma" w:cs="Tahoma" w:eastAsia="Tahoma" w:hAnsi="Tahoma"/>
          <w:b/>
          <w:bCs/>
          <w:color w:val="B5692B"/>
          <w:sz w:val="20"/>
          <w:szCs w:val="20"/>
        </w:rPr>
        <w:t xml:space="preserve">7.9.4 Environmental Auditing and Inspection Procedure</w:t>
      </w:r>
    </w:p>
    <w:p>
      <w:pPr>
        <w:spacing w:after="120" w:line="276"/>
        <w:jc w:val="both"/>
      </w:pPr>
      <w:r>
        <w:rPr>
          <w:rFonts w:ascii="Tahoma" w:cs="Tahoma" w:eastAsia="Tahoma" w:hAnsi="Tahoma"/>
          <w:sz w:val="20"/>
          <w:szCs w:val="20"/>
        </w:rPr>
        <w:t xml:space="preserve">Define the inspection and auditing requirements for the project. Objectives shall include clear internal and external audit schedules; verification that all environmental control and mitigation measures have been applied in accordance with the CEMP; verification that the implemented EMS conforms to contractual and legal requirements; comprehensive reporting of findings; and establishment of the audit programme for the construction phase.</w:t>
      </w:r>
    </w:p>
    <w:p>
      <w:pPr>
        <w:keepNext/>
        <w:spacing w:after="80" w:before="160"/>
      </w:pPr>
      <w:r>
        <w:rPr>
          <w:rFonts w:ascii="Tahoma" w:cs="Tahoma" w:eastAsia="Tahoma" w:hAnsi="Tahoma"/>
          <w:b/>
          <w:bCs/>
          <w:color w:val="B5692B"/>
          <w:sz w:val="20"/>
          <w:szCs w:val="20"/>
        </w:rPr>
        <w:t xml:space="preserve">7.9.5 Environmental Incident and Emergency-Management Procedure</w:t>
      </w:r>
    </w:p>
    <w:p>
      <w:pPr>
        <w:spacing w:after="120" w:line="276"/>
        <w:jc w:val="both"/>
      </w:pPr>
      <w:r>
        <w:rPr>
          <w:rFonts w:ascii="Tahoma" w:cs="Tahoma" w:eastAsia="Tahoma" w:hAnsi="Tahoma"/>
          <w:sz w:val="20"/>
          <w:szCs w:val="20"/>
        </w:rPr>
        <w:t xml:space="preserve">As a minimum, define appropriate environmental preparedness; response and reporting requirements for incidents and emergencies; all possible environmental incidents associated with the identified environmental aspects; and clear response procedures covering scope, notifications, containment, control and corrective action.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All environmental incidents on worksites and offices shall be reported to the DAN Representative, the DAN Project Manager and the Environmental Manager and, as appropriate, to the relevant regulatory authorities, in line with the Accident / Incident Reporting and Investigation chapter of this manual.</w:t>
      </w:r>
    </w:p>
    <w:p>
      <w:pPr>
        <w:keepNext/>
        <w:spacing w:after="80" w:before="160"/>
      </w:pPr>
      <w:r>
        <w:rPr>
          <w:rFonts w:ascii="Tahoma" w:cs="Tahoma" w:eastAsia="Tahoma" w:hAnsi="Tahoma"/>
          <w:b/>
          <w:bCs/>
          <w:color w:val="B5692B"/>
          <w:sz w:val="20"/>
          <w:szCs w:val="20"/>
        </w:rPr>
        <w:t xml:space="preserve">7.9.6 Environmental Non-Conformance</w:t>
      </w:r>
    </w:p>
    <w:p>
      <w:pPr>
        <w:spacing w:after="120" w:line="276"/>
        <w:jc w:val="both"/>
      </w:pPr>
      <w:r>
        <w:rPr>
          <w:rFonts w:ascii="Tahoma" w:cs="Tahoma" w:eastAsia="Tahoma" w:hAnsi="Tahoma"/>
          <w:sz w:val="20"/>
          <w:szCs w:val="20"/>
        </w:rPr>
        <w:t xml:space="preserve">Whenever the requirements of the CEMP are not fulfilled, a Non-Conformance exists. The CONTRACTOR shall identify any non-conformance with applicable laws, specifications and standards during both the auditing/inspection and the incident procedures, and shall raise either an Incident Reporting Form (incident response) or an Audit Report (audit procedure) as appropriate.</w:t>
      </w:r>
    </w:p>
    <w:p>
      <w:pPr>
        <w:keepNext/>
        <w:spacing w:after="80" w:before="160"/>
      </w:pPr>
      <w:r>
        <w:rPr>
          <w:rFonts w:ascii="Tahoma" w:cs="Tahoma" w:eastAsia="Tahoma" w:hAnsi="Tahoma"/>
          <w:b/>
          <w:bCs/>
          <w:color w:val="B5692B"/>
          <w:sz w:val="20"/>
          <w:szCs w:val="20"/>
        </w:rPr>
        <w:t xml:space="preserve">7.9.7 Record-Keeping and Environmental Reporting</w:t>
      </w:r>
    </w:p>
    <w:p>
      <w:pPr>
        <w:spacing w:after="120" w:line="276"/>
        <w:jc w:val="both"/>
      </w:pPr>
      <w:r>
        <w:rPr>
          <w:rFonts w:ascii="Tahoma" w:cs="Tahoma" w:eastAsia="Tahoma" w:hAnsi="Tahoma"/>
          <w:sz w:val="20"/>
          <w:szCs w:val="20"/>
        </w:rPr>
        <w:t xml:space="preserve">The CONTRACTOR shall keep and maintain environmental records as part of its EMS and make them available to DAN and MEWA on request. Records shall include environmental monitoring records, staff training records, environmental permits, environmental incidents (with preventive and remedial actions), and minutes of meetings with relevant correspondence.</w:t>
      </w:r>
    </w:p>
    <w:p>
      <w:pPr>
        <w:spacing w:after="120" w:line="276"/>
        <w:jc w:val="both"/>
      </w:pPr>
      <w:r>
        <w:rPr>
          <w:rFonts w:ascii="Tahoma" w:cs="Tahoma" w:eastAsia="Tahoma" w:hAnsi="Tahoma"/>
          <w:sz w:val="20"/>
          <w:szCs w:val="20"/>
        </w:rPr>
        <w:t xml:space="preserve">Environmental records shall be maintained by the CONTRACTOR for at least five (5) years, in accordance with ISO 45001 and ISO 14001 management-system requirements. The CONTRACTOR shall establish, implement, maintain and continually improve documentation procedures meeting ISO 14001:2015 (or the most recent version). The Environmental Permit Compliance Log shall be submitted to the DAN SH&amp;E Department monthly, within the prescribed deadline.</w:t>
      </w:r>
    </w:p>
    <w:p>
      <w:pPr>
        <w:keepNext/>
        <w:spacing w:after="80" w:before="160"/>
      </w:pPr>
      <w:r>
        <w:rPr>
          <w:rFonts w:ascii="Tahoma" w:cs="Tahoma" w:eastAsia="Tahoma" w:hAnsi="Tahoma"/>
          <w:b/>
          <w:bCs/>
          <w:color w:val="B5692B"/>
          <w:sz w:val="20"/>
          <w:szCs w:val="20"/>
        </w:rPr>
        <w:t xml:space="preserve">7.9.8 Control of the CEMP</w:t>
      </w:r>
    </w:p>
    <w:p>
      <w:pPr>
        <w:pStyle w:val="ListParagraph"/>
        <w:numPr>
          <w:ilvl w:val="0"/>
          <w:numId w:val="2"/>
        </w:numPr>
        <w:spacing w:after="60" w:line="268"/>
        <w:jc w:val="both"/>
      </w:pPr>
      <w:r>
        <w:rPr>
          <w:rFonts w:ascii="Tahoma" w:cs="Tahoma" w:eastAsia="Tahoma" w:hAnsi="Tahoma"/>
          <w:sz w:val="20"/>
          <w:szCs w:val="20"/>
        </w:rPr>
        <w:t xml:space="preserve">An up-to-date controlled copy of the CEMP shall be maintained on-site at all times, available to all parties and for auditing purposes.</w:t>
      </w:r>
    </w:p>
    <w:p>
      <w:pPr>
        <w:pStyle w:val="ListParagraph"/>
        <w:numPr>
          <w:ilvl w:val="0"/>
          <w:numId w:val="2"/>
        </w:numPr>
        <w:spacing w:after="60" w:line="268"/>
        <w:jc w:val="both"/>
      </w:pPr>
      <w:r>
        <w:rPr>
          <w:rFonts w:ascii="Tahoma" w:cs="Tahoma" w:eastAsia="Tahoma" w:hAnsi="Tahoma"/>
          <w:sz w:val="20"/>
          <w:szCs w:val="20"/>
        </w:rPr>
        <w:t xml:space="preserve">All superseded versions shall be removed from the CONTRACTOR’s online document-control system.</w:t>
      </w:r>
    </w:p>
    <w:p>
      <w:pPr>
        <w:pStyle w:val="Heading2"/>
      </w:pPr>
      <w:bookmarkStart w:id="9016" w:name="_DanToc9016"/>
      <w:r>
        <w:t xml:space="preserve">7.10 Environmental Management Review</w:t>
      </w:r>
      <w:bookmarkEnd w:id="9016"/>
    </w:p>
    <w:p>
      <w:pPr>
        <w:spacing w:after="120" w:line="276"/>
        <w:jc w:val="both"/>
      </w:pPr>
      <w:r>
        <w:rPr>
          <w:rFonts w:ascii="Tahoma" w:cs="Tahoma" w:eastAsia="Tahoma" w:hAnsi="Tahoma"/>
          <w:sz w:val="20"/>
          <w:szCs w:val="20"/>
        </w:rPr>
        <w:t xml:space="preserve">The CEMP shall be actively reviewed at least twice per year, or after environmental audits, to ensure it remains current, relevant, adequate and compliant with applicable laws and requirements. The review shall include the CONTRACTOR’s Project Director/Manager, SH&amp;E Manager and Environmental Manager, and the DAN Representative’s Safety Engineer. The review shall consider:</w:t>
      </w:r>
    </w:p>
    <w:p>
      <w:pPr>
        <w:pStyle w:val="ListParagraph"/>
        <w:numPr>
          <w:ilvl w:val="0"/>
          <w:numId w:val="2"/>
        </w:numPr>
        <w:spacing w:after="60" w:line="268"/>
        <w:jc w:val="both"/>
      </w:pPr>
      <w:r>
        <w:rPr>
          <w:rFonts w:ascii="Tahoma" w:cs="Tahoma" w:eastAsia="Tahoma" w:hAnsi="Tahoma"/>
          <w:sz w:val="20"/>
          <w:szCs w:val="20"/>
        </w:rPr>
        <w:t xml:space="preserve">Results of internal audits</w:t>
      </w:r>
    </w:p>
    <w:p>
      <w:pPr>
        <w:pStyle w:val="ListParagraph"/>
        <w:numPr>
          <w:ilvl w:val="0"/>
          <w:numId w:val="2"/>
        </w:numPr>
        <w:spacing w:after="60" w:line="268"/>
        <w:jc w:val="both"/>
      </w:pPr>
      <w:r>
        <w:rPr>
          <w:rFonts w:ascii="Tahoma" w:cs="Tahoma" w:eastAsia="Tahoma" w:hAnsi="Tahoma"/>
          <w:sz w:val="20"/>
          <w:szCs w:val="20"/>
        </w:rPr>
        <w:t xml:space="preserve">Evaluation of environmental compliance</w:t>
      </w:r>
    </w:p>
    <w:p>
      <w:pPr>
        <w:pStyle w:val="ListParagraph"/>
        <w:numPr>
          <w:ilvl w:val="0"/>
          <w:numId w:val="2"/>
        </w:numPr>
        <w:spacing w:after="60" w:line="268"/>
        <w:jc w:val="both"/>
      </w:pPr>
      <w:r>
        <w:rPr>
          <w:rFonts w:ascii="Tahoma" w:cs="Tahoma" w:eastAsia="Tahoma" w:hAnsi="Tahoma"/>
          <w:sz w:val="20"/>
          <w:szCs w:val="20"/>
        </w:rPr>
        <w:t xml:space="preserve">Communication and environmental complaints</w:t>
      </w:r>
    </w:p>
    <w:p>
      <w:pPr>
        <w:pStyle w:val="ListParagraph"/>
        <w:numPr>
          <w:ilvl w:val="0"/>
          <w:numId w:val="2"/>
        </w:numPr>
        <w:spacing w:after="60" w:line="268"/>
        <w:jc w:val="both"/>
      </w:pPr>
      <w:r>
        <w:rPr>
          <w:rFonts w:ascii="Tahoma" w:cs="Tahoma" w:eastAsia="Tahoma" w:hAnsi="Tahoma"/>
          <w:sz w:val="20"/>
          <w:szCs w:val="20"/>
        </w:rPr>
        <w:t xml:space="preserve">Assessment of environmental KPIs</w:t>
      </w:r>
    </w:p>
    <w:p>
      <w:pPr>
        <w:pStyle w:val="ListParagraph"/>
        <w:numPr>
          <w:ilvl w:val="0"/>
          <w:numId w:val="2"/>
        </w:numPr>
        <w:spacing w:after="60" w:line="268"/>
        <w:jc w:val="both"/>
      </w:pPr>
      <w:r>
        <w:rPr>
          <w:rFonts w:ascii="Tahoma" w:cs="Tahoma" w:eastAsia="Tahoma" w:hAnsi="Tahoma"/>
          <w:sz w:val="20"/>
          <w:szCs w:val="20"/>
        </w:rPr>
        <w:t xml:space="preserve">Environmental performance, including incidents and accidents</w:t>
      </w:r>
    </w:p>
    <w:p>
      <w:pPr>
        <w:pStyle w:val="ListParagraph"/>
        <w:numPr>
          <w:ilvl w:val="0"/>
          <w:numId w:val="2"/>
        </w:numPr>
        <w:spacing w:after="60" w:line="268"/>
        <w:jc w:val="both"/>
      </w:pPr>
      <w:r>
        <w:rPr>
          <w:rFonts w:ascii="Tahoma" w:cs="Tahoma" w:eastAsia="Tahoma" w:hAnsi="Tahoma"/>
          <w:sz w:val="20"/>
          <w:szCs w:val="20"/>
        </w:rPr>
        <w:t xml:space="preserve">Environmental objectives and targets</w:t>
      </w:r>
    </w:p>
    <w:p>
      <w:pPr>
        <w:pStyle w:val="ListParagraph"/>
        <w:numPr>
          <w:ilvl w:val="0"/>
          <w:numId w:val="2"/>
        </w:numPr>
        <w:spacing w:after="60" w:line="268"/>
        <w:jc w:val="both"/>
      </w:pPr>
      <w:r>
        <w:rPr>
          <w:rFonts w:ascii="Tahoma" w:cs="Tahoma" w:eastAsia="Tahoma" w:hAnsi="Tahoma"/>
          <w:sz w:val="20"/>
          <w:szCs w:val="20"/>
        </w:rPr>
        <w:t xml:space="preserve">Status of corrective and preventive actions</w:t>
      </w:r>
    </w:p>
    <w:p>
      <w:pPr>
        <w:pStyle w:val="ListParagraph"/>
        <w:numPr>
          <w:ilvl w:val="0"/>
          <w:numId w:val="2"/>
        </w:numPr>
        <w:spacing w:after="60" w:line="268"/>
        <w:jc w:val="both"/>
      </w:pPr>
      <w:r>
        <w:rPr>
          <w:rFonts w:ascii="Tahoma" w:cs="Tahoma" w:eastAsia="Tahoma" w:hAnsi="Tahoma"/>
          <w:sz w:val="20"/>
          <w:szCs w:val="20"/>
        </w:rPr>
        <w:t xml:space="preserve">Follow-up or close-out of actions from previous reviews</w:t>
      </w:r>
    </w:p>
    <w:p>
      <w:pPr>
        <w:pStyle w:val="ListParagraph"/>
        <w:numPr>
          <w:ilvl w:val="0"/>
          <w:numId w:val="2"/>
        </w:numPr>
        <w:spacing w:after="60" w:line="268"/>
        <w:jc w:val="both"/>
      </w:pPr>
      <w:r>
        <w:rPr>
          <w:rFonts w:ascii="Tahoma" w:cs="Tahoma" w:eastAsia="Tahoma" w:hAnsi="Tahoma"/>
          <w:sz w:val="20"/>
          <w:szCs w:val="20"/>
        </w:rPr>
        <w:t xml:space="preserve">Changing circumstances (e.g. legal requirements, organisation, environmental risks)</w:t>
      </w:r>
    </w:p>
    <w:p>
      <w:pPr>
        <w:pStyle w:val="ListParagraph"/>
        <w:numPr>
          <w:ilvl w:val="0"/>
          <w:numId w:val="2"/>
        </w:numPr>
        <w:spacing w:after="60" w:line="268"/>
        <w:jc w:val="both"/>
      </w:pPr>
      <w:r>
        <w:rPr>
          <w:rFonts w:ascii="Tahoma" w:cs="Tahoma" w:eastAsia="Tahoma" w:hAnsi="Tahoma"/>
          <w:sz w:val="20"/>
          <w:szCs w:val="20"/>
        </w:rPr>
        <w:t xml:space="preserve">Recommendations for improvement</w:t>
      </w:r>
    </w:p>
    <w:p>
      <w:pPr>
        <w:pStyle w:val="Heading1"/>
      </w:pPr>
      <w:bookmarkStart w:id="9017" w:name="_DanToc9017"/>
      <w:r>
        <w:t xml:space="preserve">8. Metrics and KPIs</w:t>
      </w:r>
      <w:bookmarkEnd w:id="9017"/>
    </w:p>
    <w:p>
      <w:pPr>
        <w:spacing w:after="120" w:line="276"/>
        <w:jc w:val="both"/>
      </w:pPr>
      <w:r>
        <w:rPr>
          <w:rFonts w:ascii="Tahoma" w:cs="Tahoma" w:eastAsia="Tahoma" w:hAnsi="Tahoma"/>
          <w:sz w:val="20"/>
          <w:szCs w:val="20"/>
        </w:rPr>
        <w:t xml:space="preserve">Metrics and KPIs are set by GAMEP / MEWA. Regulations may change at any time; the CONTRACTOR shall monitor GAMEP and MEWA regularly to ensure continuous compliance. Core procedures may be provided as an appendix to the main document to facilitate reference and update.</w:t>
      </w:r>
    </w:p>
    <w:p>
      <w:pPr>
        <w:pStyle w:val="Heading1"/>
      </w:pPr>
      <w:bookmarkStart w:id="9018" w:name="_DanToc9018"/>
      <w:r>
        <w:t xml:space="preserve">9. Records</w:t>
      </w:r>
      <w:bookmarkEnd w:id="9018"/>
    </w:p>
    <w:p>
      <w:pPr>
        <w:spacing w:after="120" w:line="276"/>
        <w:jc w:val="both"/>
      </w:pPr>
      <w:r>
        <w:rPr>
          <w:rFonts w:ascii="Tahoma" w:cs="Tahoma" w:eastAsia="Tahoma" w:hAnsi="Tahoma"/>
          <w:sz w:val="20"/>
          <w:szCs w:val="20"/>
        </w:rPr>
        <w:t xml:space="preserve">The SH&amp;E Representative shall maintain the environmental records on-site for the duration of the project and archive them at project close, in accordance with Section 7.9.7.</w:t>
      </w:r>
    </w:p>
    <w:p>
      <w:pPr>
        <w:pStyle w:val="Heading1"/>
      </w:pPr>
      <w:bookmarkStart w:id="9019" w:name="_DanToc9019"/>
      <w:r>
        <w:t xml:space="preserve">10. Related Documents</w:t>
      </w:r>
      <w:bookmarkEnd w:id="9019"/>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Accident / 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Environmental Control Plan (ECP) Template</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Heading1"/>
      </w:pPr>
      <w:bookmarkStart w:id="9020" w:name="_DanToc9020"/>
      <w:r>
        <w:t xml:space="preserve">Revision History</w:t>
      </w:r>
      <w:bookmarkEnd w:id="90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Construction Environmental Management Plan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01-DAN-PRC-HSE-000003-CEMP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Environmental Management Plan (CEMP)</dc:title>
  <dc:creator>DAN HSSE Management System</dc:creator>
  <cp:lastModifiedBy>Un-named</cp:lastModifiedBy>
  <cp:revision>1</cp:revision>
  <dcterms:created xsi:type="dcterms:W3CDTF">2026-06-27T21:19:25.750Z</dcterms:created>
  <dcterms:modified xsi:type="dcterms:W3CDTF">2026-06-27T21:19:25.750Z</dcterms:modified>
</cp:coreProperties>
</file>

<file path=docProps/custom.xml><?xml version="1.0" encoding="utf-8"?>
<Properties xmlns="http://schemas.openxmlformats.org/officeDocument/2006/custom-properties" xmlns:vt="http://schemas.openxmlformats.org/officeDocument/2006/docPropsVTypes"/>
</file>