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Overhead and Underground Services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01-000001-000000-DAN-HSE-MNR-000024</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General Requirements</w:t>
            </w:r>
          </w:hyperlink>
        </w:p>
        <w:p>
          <w:pPr>
            <w:spacing w:after="40" w:line="259"/>
            <w:ind w:left="0"/>
          </w:pPr>
          <w:hyperlink w:anchor="_DanToc9004" w:history="1">
            <w:r>
              <w:rPr>
                <w:rFonts w:ascii="Tahoma" w:hAnsi="Tahoma" w:cs="Tahoma"/>
                <w:b/>
                <w:color w:val="542A12"/>
                <w:sz w:val="20"/>
              </w:rPr>
              <w:t xml:space="preserve">Standards</w:t>
            </w:r>
          </w:hyperlink>
        </w:p>
        <w:p>
          <w:pPr>
            <w:spacing w:after="40" w:line="259"/>
            <w:ind w:left="0"/>
          </w:pPr>
          <w:hyperlink w:anchor="_DanToc9005" w:history="1">
            <w:r>
              <w:rPr>
                <w:rFonts w:ascii="Tahoma" w:hAnsi="Tahoma" w:cs="Tahoma"/>
                <w:b/>
                <w:color w:val="542A12"/>
                <w:sz w:val="20"/>
              </w:rPr>
              <w:t xml:space="preserve">Tools and References</w:t>
            </w:r>
          </w:hyperlink>
        </w:p>
        <w:p>
          <w:pPr>
            <w:spacing w:after="40" w:line="259"/>
            <w:ind w:left="0"/>
          </w:pPr>
          <w:hyperlink w:anchor="_DanToc900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Overhead &amp; Underground Services HSE Requirement is to outline the minimum control measures that are essential for effectively managing work H&amp;S risks to eliminate the risk to workers engaged in working near utilities, and to others. In locations where the risks cannot be eliminated, control measures must be implemented to minimize the risks.</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DAN Company Company Limited “DAN” Projects, site offices, or any DAN-controlled work areas/offices.</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Spotter zone</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means the area adjacent to overhead assets (power lines)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H&amp;C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DAN Heritage and Culture Authority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Operator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individual who operates and controls a piece of plant or equipment at the workplace.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NOC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Objection Certificate - permission conditions stipulated by an asset owner or concerned authorities</w:t>
            </w:r>
          </w:p>
        </w:tc>
      </w:tr>
    </w:tbl>
    <w:p>
      <w:pPr>
        <w:pStyle w:val="Heading1"/>
      </w:pPr>
      <w:bookmarkStart w:id="9003" w:name="_DanToc9003"/>
      <w:r>
        <w:t xml:space="preserve">1.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Specific competency-based training will be provided to:</w:t>
      </w:r>
    </w:p>
    <w:p>
      <w:pPr>
        <w:pStyle w:val="ListParagraph"/>
        <w:numPr>
          <w:ilvl w:val="0"/>
          <w:numId w:val="3"/>
        </w:numPr>
        <w:spacing w:after="40" w:line="264"/>
      </w:pPr>
      <w:r>
        <w:rPr>
          <w:rFonts w:ascii="Tahoma" w:cs="Tahoma" w:eastAsia="Tahoma" w:hAnsi="Tahoma"/>
          <w:sz w:val="18"/>
          <w:szCs w:val="18"/>
        </w:rPr>
        <w:t xml:space="preserve">Managers / Supervisors / Engineers</w:t>
      </w:r>
    </w:p>
    <w:p>
      <w:pPr>
        <w:pStyle w:val="ListParagraph"/>
        <w:numPr>
          <w:ilvl w:val="0"/>
          <w:numId w:val="3"/>
        </w:numPr>
        <w:spacing w:after="40" w:line="264"/>
      </w:pPr>
      <w:r>
        <w:rPr>
          <w:rFonts w:ascii="Tahoma" w:cs="Tahoma" w:eastAsia="Tahoma" w:hAnsi="Tahoma"/>
          <w:sz w:val="18"/>
          <w:szCs w:val="18"/>
        </w:rPr>
        <w:t xml:space="preserve">Employees who work in the vicinity of overhead/underground services</w:t>
      </w:r>
    </w:p>
    <w:p>
      <w:pPr>
        <w:pStyle w:val="ListParagraph"/>
        <w:numPr>
          <w:ilvl w:val="0"/>
          <w:numId w:val="3"/>
        </w:numPr>
        <w:spacing w:after="40" w:line="264"/>
      </w:pPr>
      <w:r>
        <w:rPr>
          <w:rFonts w:ascii="Tahoma" w:cs="Tahoma" w:eastAsia="Tahoma" w:hAnsi="Tahoma"/>
          <w:sz w:val="18"/>
          <w:szCs w:val="18"/>
        </w:rPr>
        <w:t xml:space="preserve">Plant and equipment maintenance and inspection</w:t>
      </w:r>
    </w:p>
    <w:p>
      <w:pPr>
        <w:pStyle w:val="ListParagraph"/>
        <w:numPr>
          <w:ilvl w:val="0"/>
          <w:numId w:val="2"/>
        </w:numPr>
        <w:spacing w:after="60" w:line="268"/>
        <w:jc w:val="both"/>
      </w:pPr>
      <w:r>
        <w:rPr>
          <w:rFonts w:ascii="Tahoma" w:cs="Tahoma" w:eastAsia="Tahoma" w:hAnsi="Tahoma"/>
          <w:sz w:val="20"/>
          <w:szCs w:val="20"/>
        </w:rPr>
        <w:t xml:space="preserve">All operations in the vicinity of overhead and underground services will apply:</w:t>
      </w:r>
    </w:p>
    <w:p>
      <w:pPr>
        <w:pStyle w:val="ListParagraph"/>
        <w:numPr>
          <w:ilvl w:val="0"/>
          <w:numId w:val="3"/>
        </w:numPr>
        <w:spacing w:after="40" w:line="264"/>
      </w:pPr>
      <w:r>
        <w:rPr>
          <w:rFonts w:ascii="Tahoma" w:cs="Tahoma" w:eastAsia="Tahoma" w:hAnsi="Tahoma"/>
          <w:sz w:val="18"/>
          <w:szCs w:val="18"/>
        </w:rPr>
        <w:t xml:space="preserve">NOC authorization process</w:t>
      </w:r>
    </w:p>
    <w:p>
      <w:pPr>
        <w:pStyle w:val="ListParagraph"/>
        <w:numPr>
          <w:ilvl w:val="0"/>
          <w:numId w:val="3"/>
        </w:numPr>
        <w:spacing w:after="40" w:line="264"/>
      </w:pPr>
      <w:r>
        <w:rPr>
          <w:rFonts w:ascii="Tahoma" w:cs="Tahoma" w:eastAsia="Tahoma" w:hAnsi="Tahoma"/>
          <w:sz w:val="18"/>
          <w:szCs w:val="18"/>
        </w:rPr>
        <w:t xml:space="preserve">Permit-to-Work system</w:t>
      </w:r>
    </w:p>
    <w:p>
      <w:pPr>
        <w:pStyle w:val="ListParagraph"/>
        <w:numPr>
          <w:ilvl w:val="0"/>
          <w:numId w:val="3"/>
        </w:numPr>
        <w:spacing w:after="40" w:line="264"/>
      </w:pPr>
      <w:r>
        <w:rPr>
          <w:rFonts w:ascii="Tahoma" w:cs="Tahoma" w:eastAsia="Tahoma" w:hAnsi="Tahoma"/>
          <w:sz w:val="18"/>
          <w:szCs w:val="18"/>
        </w:rPr>
        <w:t xml:space="preserve">Emergency Response Planning</w:t>
      </w:r>
    </w:p>
    <w:p>
      <w:pPr>
        <w:pStyle w:val="ListParagraph"/>
        <w:numPr>
          <w:ilvl w:val="0"/>
          <w:numId w:val="2"/>
        </w:numPr>
        <w:spacing w:after="60" w:line="268"/>
        <w:jc w:val="both"/>
      </w:pPr>
      <w:r>
        <w:rPr>
          <w:rFonts w:ascii="Tahoma" w:cs="Tahoma" w:eastAsia="Tahoma" w:hAnsi="Tahoma"/>
          <w:sz w:val="20"/>
          <w:szCs w:val="20"/>
        </w:rPr>
        <w:t xml:space="preserve">Work activities in the vicinity of overhead services will have documented:</w:t>
      </w:r>
    </w:p>
    <w:p>
      <w:pPr>
        <w:pStyle w:val="ListParagraph"/>
        <w:numPr>
          <w:ilvl w:val="0"/>
          <w:numId w:val="3"/>
        </w:numPr>
        <w:spacing w:after="40" w:line="264"/>
      </w:pPr>
      <w:r>
        <w:rPr>
          <w:rFonts w:ascii="Tahoma" w:cs="Tahoma" w:eastAsia="Tahoma" w:hAnsi="Tahoma"/>
          <w:sz w:val="18"/>
          <w:szCs w:val="18"/>
        </w:rPr>
        <w:t xml:space="preserve">Scope, authorizations, rules, and hazard controls for:</w:t>
      </w:r>
    </w:p>
    <w:p>
      <w:pPr>
        <w:pStyle w:val="ListParagraph"/>
        <w:numPr>
          <w:ilvl w:val="0"/>
          <w:numId w:val="3"/>
        </w:numPr>
        <w:spacing w:after="40" w:line="264"/>
      </w:pPr>
      <w:r>
        <w:rPr>
          <w:rFonts w:ascii="Tahoma" w:cs="Tahoma" w:eastAsia="Tahoma" w:hAnsi="Tahoma"/>
          <w:sz w:val="18"/>
          <w:szCs w:val="18"/>
        </w:rPr>
        <w:t xml:space="preserve">i. Traffic/plant and equipment restrictions</w:t>
      </w:r>
    </w:p>
    <w:p>
      <w:pPr>
        <w:pStyle w:val="ListParagraph"/>
        <w:numPr>
          <w:ilvl w:val="0"/>
          <w:numId w:val="3"/>
        </w:numPr>
        <w:spacing w:after="40" w:line="264"/>
      </w:pPr>
      <w:r>
        <w:rPr>
          <w:rFonts w:ascii="Tahoma" w:cs="Tahoma" w:eastAsia="Tahoma" w:hAnsi="Tahoma"/>
          <w:sz w:val="18"/>
          <w:szCs w:val="18"/>
        </w:rPr>
        <w:t xml:space="preserve">ii. Work zones – barriers, signage, lighting,</w:t>
      </w:r>
    </w:p>
    <w:p>
      <w:pPr>
        <w:pStyle w:val="ListParagraph"/>
        <w:numPr>
          <w:ilvl w:val="0"/>
          <w:numId w:val="3"/>
        </w:numPr>
        <w:spacing w:after="40" w:line="264"/>
      </w:pPr>
      <w:r>
        <w:rPr>
          <w:rFonts w:ascii="Tahoma" w:cs="Tahoma" w:eastAsia="Tahoma" w:hAnsi="Tahoma"/>
          <w:sz w:val="18"/>
          <w:szCs w:val="18"/>
        </w:rPr>
        <w:t xml:space="preserve">iii. Energy isolation and de-isolation</w:t>
      </w:r>
    </w:p>
    <w:p>
      <w:pPr>
        <w:pStyle w:val="ListParagraph"/>
        <w:numPr>
          <w:ilvl w:val="0"/>
          <w:numId w:val="2"/>
        </w:numPr>
        <w:spacing w:after="60" w:line="268"/>
        <w:jc w:val="both"/>
      </w:pPr>
      <w:r>
        <w:rPr>
          <w:rFonts w:ascii="Tahoma" w:cs="Tahoma" w:eastAsia="Tahoma" w:hAnsi="Tahoma"/>
          <w:sz w:val="20"/>
          <w:szCs w:val="20"/>
        </w:rPr>
        <w:t xml:space="preserve">Work activities in the vicinity of underground services will have documented:</w:t>
      </w:r>
    </w:p>
    <w:p>
      <w:pPr>
        <w:pStyle w:val="ListParagraph"/>
        <w:numPr>
          <w:ilvl w:val="0"/>
          <w:numId w:val="3"/>
        </w:numPr>
        <w:spacing w:after="40" w:line="264"/>
      </w:pPr>
      <w:r>
        <w:rPr>
          <w:rFonts w:ascii="Tahoma" w:cs="Tahoma" w:eastAsia="Tahoma" w:hAnsi="Tahoma"/>
          <w:sz w:val="18"/>
          <w:szCs w:val="18"/>
        </w:rPr>
        <w:t xml:space="preserve">Scope, authorizations, rules, and hazard controls for:</w:t>
      </w:r>
    </w:p>
    <w:p>
      <w:pPr>
        <w:pStyle w:val="ListParagraph"/>
        <w:numPr>
          <w:ilvl w:val="0"/>
          <w:numId w:val="3"/>
        </w:numPr>
        <w:spacing w:after="40" w:line="264"/>
      </w:pPr>
      <w:r>
        <w:rPr>
          <w:rFonts w:ascii="Tahoma" w:cs="Tahoma" w:eastAsia="Tahoma" w:hAnsi="Tahoma"/>
          <w:sz w:val="18"/>
          <w:szCs w:val="18"/>
        </w:rPr>
        <w:t xml:space="preserve">i. Traffic/plant and equipment restrictions</w:t>
      </w:r>
    </w:p>
    <w:p>
      <w:pPr>
        <w:pStyle w:val="ListParagraph"/>
        <w:numPr>
          <w:ilvl w:val="0"/>
          <w:numId w:val="3"/>
        </w:numPr>
        <w:spacing w:after="40" w:line="264"/>
      </w:pPr>
      <w:r>
        <w:rPr>
          <w:rFonts w:ascii="Tahoma" w:cs="Tahoma" w:eastAsia="Tahoma" w:hAnsi="Tahoma"/>
          <w:sz w:val="18"/>
          <w:szCs w:val="18"/>
        </w:rPr>
        <w:t xml:space="preserve">ii. Work zones – barriers, signage, lighting,</w:t>
      </w:r>
    </w:p>
    <w:p>
      <w:pPr>
        <w:pStyle w:val="ListParagraph"/>
        <w:numPr>
          <w:ilvl w:val="0"/>
          <w:numId w:val="3"/>
        </w:numPr>
        <w:spacing w:after="40" w:line="264"/>
      </w:pPr>
      <w:r>
        <w:rPr>
          <w:rFonts w:ascii="Tahoma" w:cs="Tahoma" w:eastAsia="Tahoma" w:hAnsi="Tahoma"/>
          <w:sz w:val="18"/>
          <w:szCs w:val="18"/>
        </w:rPr>
        <w:t xml:space="preserve">iii. Service avoidance/protection methods when excavating and digging Operations involving overhead and underground services will be frequently inspected by a competent person and the outcomes documented</w:t>
      </w:r>
    </w:p>
    <w:p>
      <w:pPr>
        <w:pStyle w:val="Heading1"/>
      </w:pPr>
      <w:bookmarkStart w:id="9004" w:name="_DanToc9004"/>
      <w:r>
        <w:t xml:space="preserve">Standards</w:t>
      </w:r>
      <w:bookmarkEnd w:id="9004"/>
    </w:p>
    <w:p>
      <w:pPr>
        <w:pStyle w:val="ListParagraph"/>
        <w:numPr>
          <w:ilvl w:val="0"/>
          <w:numId w:val="2"/>
        </w:numPr>
        <w:spacing w:after="60" w:line="268"/>
        <w:jc w:val="both"/>
      </w:pPr>
      <w:r>
        <w:rPr>
          <w:rFonts w:ascii="Tahoma" w:cs="Tahoma" w:eastAsia="Tahoma" w:hAnsi="Tahoma"/>
          <w:sz w:val="20"/>
          <w:szCs w:val="20"/>
        </w:rPr>
        <w:t xml:space="preserve">• 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 Saudi Labour Law – Royal Decree No. M/51, 23 Sha’ban 1426 / 27 September 2005</w:t>
      </w:r>
    </w:p>
    <w:p>
      <w:pPr>
        <w:pStyle w:val="ListParagraph"/>
        <w:numPr>
          <w:ilvl w:val="0"/>
          <w:numId w:val="2"/>
        </w:numPr>
        <w:spacing w:after="60" w:line="268"/>
        <w:jc w:val="both"/>
      </w:pPr>
      <w:r>
        <w:rPr>
          <w:rFonts w:ascii="Tahoma" w:cs="Tahoma" w:eastAsia="Tahoma" w:hAnsi="Tahoma"/>
          <w:sz w:val="20"/>
          <w:szCs w:val="20"/>
        </w:rPr>
        <w:t xml:space="preserve">• NOC for overhead &amp; underground clearance / Regulation by Saudi Electric Company &amp;</w:t>
      </w:r>
    </w:p>
    <w:p>
      <w:pPr>
        <w:pStyle w:val="ListParagraph"/>
        <w:numPr>
          <w:ilvl w:val="0"/>
          <w:numId w:val="2"/>
        </w:numPr>
        <w:spacing w:after="60" w:line="268"/>
        <w:jc w:val="both"/>
      </w:pPr>
      <w:r>
        <w:rPr>
          <w:rFonts w:ascii="Tahoma" w:cs="Tahoma" w:eastAsia="Tahoma" w:hAnsi="Tahoma"/>
          <w:sz w:val="20"/>
          <w:szCs w:val="20"/>
        </w:rPr>
        <w:t xml:space="preserve">Ministry of Municipality</w:t>
      </w:r>
    </w:p>
    <w:p>
      <w:pPr>
        <w:pStyle w:val="Heading1"/>
      </w:pPr>
      <w:bookmarkStart w:id="9005" w:name="_DanToc9005"/>
      <w:r>
        <w:t xml:space="preserve">Tools and References</w:t>
      </w:r>
      <w:bookmarkEnd w:id="9005"/>
    </w:p>
    <w:p>
      <w:pPr>
        <w:pStyle w:val="ListParagraph"/>
        <w:numPr>
          <w:ilvl w:val="0"/>
          <w:numId w:val="2"/>
        </w:numPr>
        <w:spacing w:after="60" w:line="268"/>
        <w:jc w:val="both"/>
      </w:pPr>
      <w:r>
        <w:rPr>
          <w:rFonts w:ascii="Tahoma" w:cs="Tahoma" w:eastAsia="Tahoma" w:hAnsi="Tahoma"/>
          <w:sz w:val="20"/>
          <w:szCs w:val="20"/>
        </w:rPr>
        <w:t xml:space="preserve">NOC from authorities</w:t>
      </w:r>
    </w:p>
    <w:p>
      <w:pPr>
        <w:pStyle w:val="ListParagraph"/>
        <w:numPr>
          <w:ilvl w:val="0"/>
          <w:numId w:val="2"/>
        </w:numPr>
        <w:spacing w:after="60" w:line="268"/>
        <w:jc w:val="both"/>
      </w:pPr>
      <w:r>
        <w:rPr>
          <w:rFonts w:ascii="Tahoma" w:cs="Tahoma" w:eastAsia="Tahoma" w:hAnsi="Tahoma"/>
          <w:sz w:val="20"/>
          <w:szCs w:val="20"/>
        </w:rPr>
        <w:t xml:space="preserve">Approved Procedure, Method Statement &amp; Risk Assessment</w:t>
      </w:r>
    </w:p>
    <w:p>
      <w:pPr>
        <w:pStyle w:val="ListParagraph"/>
        <w:numPr>
          <w:ilvl w:val="0"/>
          <w:numId w:val="2"/>
        </w:numPr>
        <w:spacing w:after="60" w:line="268"/>
        <w:jc w:val="both"/>
      </w:pPr>
      <w:r>
        <w:rPr>
          <w:rFonts w:ascii="Tahoma" w:cs="Tahoma" w:eastAsia="Tahoma" w:hAnsi="Tahoma"/>
          <w:sz w:val="20"/>
          <w:szCs w:val="20"/>
        </w:rPr>
        <w:t xml:space="preserve">Training Records for employees</w:t>
      </w:r>
    </w:p>
    <w:p>
      <w:pPr>
        <w:pStyle w:val="ListParagraph"/>
        <w:numPr>
          <w:ilvl w:val="0"/>
          <w:numId w:val="2"/>
        </w:numPr>
        <w:spacing w:after="60" w:line="268"/>
        <w:jc w:val="both"/>
      </w:pPr>
      <w:r>
        <w:rPr>
          <w:rFonts w:ascii="Tahoma" w:cs="Tahoma" w:eastAsia="Tahoma" w:hAnsi="Tahoma"/>
          <w:sz w:val="20"/>
          <w:szCs w:val="20"/>
        </w:rPr>
        <w:t xml:space="preserve">Workplace Inspection &amp; Permit Record</w:t>
      </w:r>
    </w:p>
    <w:p>
      <w:pPr>
        <w:pStyle w:val="ListParagraph"/>
        <w:numPr>
          <w:ilvl w:val="0"/>
          <w:numId w:val="2"/>
        </w:numPr>
        <w:spacing w:after="60" w:line="268"/>
        <w:jc w:val="both"/>
      </w:pPr>
      <w:r>
        <w:rPr>
          <w:rFonts w:ascii="Tahoma" w:cs="Tahoma" w:eastAsia="Tahoma" w:hAnsi="Tahoma"/>
          <w:sz w:val="20"/>
          <w:szCs w:val="20"/>
        </w:rPr>
        <w:t xml:space="preserve">OSHA standard 1926.1408 &amp; 1926.416 for Power &amp; Underground utilities</w:t>
      </w:r>
    </w:p>
    <w:p>
      <w:pPr>
        <w:pStyle w:val="ListParagraph"/>
        <w:numPr>
          <w:ilvl w:val="0"/>
          <w:numId w:val="2"/>
        </w:numPr>
        <w:spacing w:after="60" w:line="268"/>
        <w:jc w:val="both"/>
      </w:pPr>
      <w:r>
        <w:rPr>
          <w:rFonts w:ascii="Tahoma" w:cs="Tahoma" w:eastAsia="Tahoma" w:hAnsi="Tahoma"/>
          <w:sz w:val="20"/>
          <w:szCs w:val="20"/>
        </w:rPr>
        <w:t xml:space="preserve">DAN H&amp;C requirements</w:t>
      </w:r>
    </w:p>
    <w:p>
      <w:pPr>
        <w:pStyle w:val="Heading1"/>
      </w:pPr>
      <w:bookmarkStart w:id="9006" w:name="_DanToc9006"/>
      <w:r>
        <w:t xml:space="preserve">Revision History</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Overhead and Underground Services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01-000001-000000-DAN-HSE-MNR-000024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Overhead and Underground Services</dc:title>
  <dc:creator>DAN HSSE Management System</dc:creator>
  <cp:lastModifiedBy>Un-named</cp:lastModifiedBy>
  <cp:revision>1</cp:revision>
  <dcterms:created xsi:type="dcterms:W3CDTF">2026-09-01T08:51:18.925Z</dcterms:created>
  <dcterms:modified xsi:type="dcterms:W3CDTF">2026-09-01T08:51:18.925Z</dcterms:modified>
</cp:coreProperties>
</file>

<file path=docProps/custom.xml><?xml version="1.0" encoding="utf-8"?>
<Properties xmlns="http://schemas.openxmlformats.org/officeDocument/2006/custom-properties" xmlns:vt="http://schemas.openxmlformats.org/officeDocument/2006/docPropsVTypes"/>
</file>