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Permit to Work (PTW)</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01-DAN-PRC-HSE-000019-PTW</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establishes the minimum requirements for the Permit to Work (PTW) system on DAN projects and facilities. The PTW system authorises and controls high-risk work, ensures hazards are identified and controls are in place and communicated before work begins, ensures all involved personnel understand the controls, and provides a close-out process confirming the area is safe to return to normal operations.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high-risk work activities on DAN projects and facilities. All high-risk activities require a Permit to Work before work starts; low-risk activities may be exempted from the PTW Plan following a risk assessment.</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Confined Space</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PTW Plan</w:t>
      </w:r>
    </w:p>
    <w:p>
      <w:pPr>
        <w:pStyle w:val="ListParagraph"/>
        <w:numPr>
          <w:ilvl w:val="0"/>
          <w:numId w:val="2"/>
        </w:numPr>
        <w:spacing w:after="60" w:line="268"/>
        <w:jc w:val="both"/>
      </w:pPr>
      <w:r>
        <w:rPr>
          <w:rFonts w:ascii="Tahoma" w:cs="Tahoma" w:eastAsia="Tahoma" w:hAnsi="Tahoma"/>
          <w:sz w:val="20"/>
          <w:szCs w:val="20"/>
        </w:rPr>
        <w:t xml:space="preserve">Permits to Work</w:t>
      </w:r>
    </w:p>
    <w:p>
      <w:pPr>
        <w:pStyle w:val="ListParagraph"/>
        <w:numPr>
          <w:ilvl w:val="0"/>
          <w:numId w:val="2"/>
        </w:numPr>
        <w:spacing w:after="60" w:line="268"/>
        <w:jc w:val="both"/>
      </w:pPr>
      <w:r>
        <w:rPr>
          <w:rFonts w:ascii="Tahoma" w:cs="Tahoma" w:eastAsia="Tahoma" w:hAnsi="Tahoma"/>
          <w:sz w:val="20"/>
          <w:szCs w:val="20"/>
        </w:rPr>
        <w:t xml:space="preserve">PTW Log</w:t>
      </w:r>
    </w:p>
    <w:p>
      <w:pPr>
        <w:pStyle w:val="Heading1"/>
      </w:pPr>
      <w:r>
        <w:t xml:space="preserve">5. Mandatory Permits</w:t>
      </w:r>
    </w:p>
    <w:p>
      <w:pPr>
        <w:spacing w:after="120" w:line="276"/>
        <w:jc w:val="both"/>
      </w:pPr>
      <w:r>
        <w:rPr>
          <w:rFonts w:ascii="Tahoma" w:cs="Tahoma" w:eastAsia="Tahoma" w:hAnsi="Tahoma"/>
          <w:sz w:val="20"/>
          <w:szCs w:val="20"/>
        </w:rPr>
        <w:t xml:space="preserve">The following high-risk activities require a Permit to Work:</w:t>
      </w:r>
    </w:p>
    <w:p>
      <w:pPr>
        <w:pStyle w:val="ListParagraph"/>
        <w:numPr>
          <w:ilvl w:val="0"/>
          <w:numId w:val="2"/>
        </w:numPr>
        <w:spacing w:after="60" w:line="268"/>
        <w:jc w:val="both"/>
      </w:pPr>
      <w:r>
        <w:rPr>
          <w:rFonts w:ascii="Tahoma" w:cs="Tahoma" w:eastAsia="Tahoma" w:hAnsi="Tahoma"/>
          <w:sz w:val="20"/>
          <w:szCs w:val="20"/>
        </w:rPr>
        <w:t xml:space="preserve">Confined-space entry; hot works; Lockout/Tagout (LOTO) of systems and equipment;</w:t>
      </w:r>
    </w:p>
    <w:p>
      <w:pPr>
        <w:pStyle w:val="ListParagraph"/>
        <w:numPr>
          <w:ilvl w:val="0"/>
          <w:numId w:val="2"/>
        </w:numPr>
        <w:spacing w:after="60" w:line="268"/>
        <w:jc w:val="both"/>
      </w:pPr>
      <w:r>
        <w:rPr>
          <w:rFonts w:ascii="Tahoma" w:cs="Tahoma" w:eastAsia="Tahoma" w:hAnsi="Tahoma"/>
          <w:sz w:val="20"/>
          <w:szCs w:val="20"/>
        </w:rPr>
        <w:t xml:space="preserve">Work on or near energised circuits; work within 50 ft (15 m) of energised power lines; electrical substations;</w:t>
      </w:r>
    </w:p>
    <w:p>
      <w:pPr>
        <w:pStyle w:val="ListParagraph"/>
        <w:numPr>
          <w:ilvl w:val="0"/>
          <w:numId w:val="2"/>
        </w:numPr>
        <w:spacing w:after="60" w:line="268"/>
        <w:jc w:val="both"/>
      </w:pPr>
      <w:r>
        <w:rPr>
          <w:rFonts w:ascii="Tahoma" w:cs="Tahoma" w:eastAsia="Tahoma" w:hAnsi="Tahoma"/>
          <w:sz w:val="20"/>
          <w:szCs w:val="20"/>
        </w:rPr>
        <w:t xml:space="preserve">Pressure testing of mechanical systems (hydrostatic/pneumatic); installation of a hot-tap connection;</w:t>
      </w:r>
    </w:p>
    <w:p>
      <w:pPr>
        <w:pStyle w:val="ListParagraph"/>
        <w:numPr>
          <w:ilvl w:val="0"/>
          <w:numId w:val="2"/>
        </w:numPr>
        <w:spacing w:after="60" w:line="268"/>
        <w:jc w:val="both"/>
      </w:pPr>
      <w:r>
        <w:rPr>
          <w:rFonts w:ascii="Tahoma" w:cs="Tahoma" w:eastAsia="Tahoma" w:hAnsi="Tahoma"/>
          <w:sz w:val="20"/>
          <w:szCs w:val="20"/>
        </w:rPr>
        <w:t xml:space="preserve">Grating/handrail removal; work at height; work from suspended platforms (man basket, cradle); lifting activities;</w:t>
      </w:r>
    </w:p>
    <w:p>
      <w:pPr>
        <w:pStyle w:val="ListParagraph"/>
        <w:numPr>
          <w:ilvl w:val="0"/>
          <w:numId w:val="2"/>
        </w:numPr>
        <w:spacing w:after="60" w:line="268"/>
        <w:jc w:val="both"/>
      </w:pPr>
      <w:r>
        <w:rPr>
          <w:rFonts w:ascii="Tahoma" w:cs="Tahoma" w:eastAsia="Tahoma" w:hAnsi="Tahoma"/>
          <w:sz w:val="20"/>
          <w:szCs w:val="20"/>
        </w:rPr>
        <w:t xml:space="preserve">Night work; blasting (sand/abrasive/grit) and explosive (rock-blasting) operations;</w:t>
      </w:r>
    </w:p>
    <w:p>
      <w:pPr>
        <w:pStyle w:val="ListParagraph"/>
        <w:numPr>
          <w:ilvl w:val="0"/>
          <w:numId w:val="2"/>
        </w:numPr>
        <w:spacing w:after="60" w:line="268"/>
        <w:jc w:val="both"/>
      </w:pPr>
      <w:r>
        <w:rPr>
          <w:rFonts w:ascii="Tahoma" w:cs="Tahoma" w:eastAsia="Tahoma" w:hAnsi="Tahoma"/>
          <w:sz w:val="20"/>
          <w:szCs w:val="20"/>
        </w:rPr>
        <w:t xml:space="preserve">Work where hydrocarbons, flammables or toxics are handled, stored, piped or processed in bulk; work within 75 ft (23 m) of hydrocarbon pipelines;</w:t>
      </w:r>
    </w:p>
    <w:p>
      <w:pPr>
        <w:pStyle w:val="ListParagraph"/>
        <w:numPr>
          <w:ilvl w:val="0"/>
          <w:numId w:val="2"/>
        </w:numPr>
        <w:spacing w:after="60" w:line="268"/>
        <w:jc w:val="both"/>
      </w:pPr>
      <w:r>
        <w:rPr>
          <w:rFonts w:ascii="Tahoma" w:cs="Tahoma" w:eastAsia="Tahoma" w:hAnsi="Tahoma"/>
          <w:sz w:val="20"/>
          <w:szCs w:val="20"/>
        </w:rPr>
        <w:t xml:space="preserve">Work in water/gas injection wells and pipelines, water/sewage treatment plants, lift stations and cooling towers; areas where explosives or radioactive materials are used/stored;</w:t>
      </w:r>
    </w:p>
    <w:p>
      <w:pPr>
        <w:pStyle w:val="ListParagraph"/>
        <w:numPr>
          <w:ilvl w:val="0"/>
          <w:numId w:val="2"/>
        </w:numPr>
        <w:spacing w:after="60" w:line="268"/>
        <w:jc w:val="both"/>
      </w:pPr>
      <w:r>
        <w:rPr>
          <w:rFonts w:ascii="Tahoma" w:cs="Tahoma" w:eastAsia="Tahoma" w:hAnsi="Tahoma"/>
          <w:sz w:val="20"/>
          <w:szCs w:val="20"/>
        </w:rPr>
        <w:t xml:space="preserve">Excavation around known or suspected underground utilities; opening of closed-system equipment, vessels or piping containing flammable, toxic or injurious materials;</w:t>
      </w:r>
    </w:p>
    <w:p>
      <w:pPr>
        <w:pStyle w:val="ListParagraph"/>
        <w:numPr>
          <w:ilvl w:val="0"/>
          <w:numId w:val="2"/>
        </w:numPr>
        <w:spacing w:after="60" w:line="268"/>
        <w:jc w:val="both"/>
      </w:pPr>
      <w:r>
        <w:rPr>
          <w:rFonts w:ascii="Tahoma" w:cs="Tahoma" w:eastAsia="Tahoma" w:hAnsi="Tahoma"/>
          <w:sz w:val="20"/>
          <w:szCs w:val="20"/>
        </w:rPr>
        <w:t xml:space="preserve">Removal or disturbance of asbestos-containing material (ACM); industrial radiography / NDT.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DAN approval of the PTW is mandatory for work involving an interface between DAN contractors or third parties, work inside DAN facilities, work in commissioned utilities or power systems, any tandem lift or lift using more than 70% of the crane’s rated capacity, and any activity defined by the DAN Representative.</w:t>
      </w:r>
    </w:p>
    <w:p>
      <w:pPr>
        <w:pStyle w:val="Heading1"/>
      </w:pPr>
      <w:r>
        <w:t xml:space="preserve">6. General Requirements</w:t>
      </w:r>
    </w:p>
    <w:p>
      <w:pPr>
        <w:pStyle w:val="ListParagraph"/>
        <w:numPr>
          <w:ilvl w:val="0"/>
          <w:numId w:val="2"/>
        </w:numPr>
        <w:spacing w:after="60" w:line="268"/>
        <w:jc w:val="both"/>
      </w:pPr>
      <w:r>
        <w:rPr>
          <w:rFonts w:ascii="Tahoma" w:cs="Tahoma" w:eastAsia="Tahoma" w:hAnsi="Tahoma"/>
          <w:sz w:val="20"/>
          <w:szCs w:val="20"/>
        </w:rPr>
        <w:t xml:space="preserve">The correct permit type shall be issued (more than one may be required, e.g. most confined-space entries); a site review is performed before issuance.</w:t>
      </w:r>
    </w:p>
    <w:p>
      <w:pPr>
        <w:pStyle w:val="ListParagraph"/>
        <w:numPr>
          <w:ilvl w:val="0"/>
          <w:numId w:val="2"/>
        </w:numPr>
        <w:spacing w:after="60" w:line="268"/>
        <w:jc w:val="both"/>
      </w:pPr>
      <w:r>
        <w:rPr>
          <w:rFonts w:ascii="Tahoma" w:cs="Tahoma" w:eastAsia="Tahoma" w:hAnsi="Tahoma"/>
          <w:sz w:val="20"/>
          <w:szCs w:val="20"/>
        </w:rPr>
        <w:t xml:space="preserve">Method Statements and AHAs shall adequately address all permitted activities and hazards; the SH&amp;E Representative ensures requirements are communicated to all participants before work starts.</w:t>
      </w:r>
    </w:p>
    <w:p>
      <w:pPr>
        <w:pStyle w:val="ListParagraph"/>
        <w:numPr>
          <w:ilvl w:val="0"/>
          <w:numId w:val="2"/>
        </w:numPr>
        <w:spacing w:after="60" w:line="268"/>
        <w:jc w:val="both"/>
      </w:pPr>
      <w:r>
        <w:rPr>
          <w:rFonts w:ascii="Tahoma" w:cs="Tahoma" w:eastAsia="Tahoma" w:hAnsi="Tahoma"/>
          <w:sz w:val="20"/>
          <w:szCs w:val="20"/>
        </w:rPr>
        <w:t xml:space="preserve">Permits are completed in English and interpreted for non-English-speaking personnel; the PTW clearly states the job description and required equipment.</w:t>
      </w:r>
    </w:p>
    <w:p>
      <w:pPr>
        <w:pStyle w:val="ListParagraph"/>
        <w:numPr>
          <w:ilvl w:val="0"/>
          <w:numId w:val="2"/>
        </w:numPr>
        <w:spacing w:after="60" w:line="268"/>
        <w:jc w:val="both"/>
      </w:pPr>
      <w:r>
        <w:rPr>
          <w:rFonts w:ascii="Tahoma" w:cs="Tahoma" w:eastAsia="Tahoma" w:hAnsi="Tahoma"/>
          <w:sz w:val="20"/>
          <w:szCs w:val="20"/>
        </w:rPr>
        <w:t xml:space="preserve">A valid permit shall be approved before work begins; expired permits shall not be used; permits are issued for specific tasks at specific locations (one permit shall not cover more than one location).</w:t>
      </w:r>
    </w:p>
    <w:p>
      <w:pPr>
        <w:pStyle w:val="ListParagraph"/>
        <w:numPr>
          <w:ilvl w:val="0"/>
          <w:numId w:val="2"/>
        </w:numPr>
        <w:spacing w:after="60" w:line="268"/>
        <w:jc w:val="both"/>
      </w:pPr>
      <w:r>
        <w:rPr>
          <w:rFonts w:ascii="Tahoma" w:cs="Tahoma" w:eastAsia="Tahoma" w:hAnsi="Tahoma"/>
          <w:sz w:val="20"/>
          <w:szCs w:val="20"/>
        </w:rPr>
        <w:t xml:space="preserve">The original permit is retained at the work area and presented to DAN SH&amp;E Representatives on request; personnel not directly involved are prohibited from entering the permitted area.</w:t>
      </w:r>
    </w:p>
    <w:p>
      <w:pPr>
        <w:pStyle w:val="Heading2"/>
      </w:pPr>
      <w:r>
        <w:t xml:space="preserve">6.1 Issuing and Renewal</w:t>
      </w:r>
    </w:p>
    <w:p>
      <w:pPr>
        <w:pStyle w:val="ListParagraph"/>
        <w:numPr>
          <w:ilvl w:val="0"/>
          <w:numId w:val="2"/>
        </w:numPr>
        <w:spacing w:after="60" w:line="268"/>
        <w:jc w:val="both"/>
      </w:pPr>
      <w:r>
        <w:rPr>
          <w:rFonts w:ascii="Tahoma" w:cs="Tahoma" w:eastAsia="Tahoma" w:hAnsi="Tahoma"/>
          <w:sz w:val="20"/>
          <w:szCs w:val="20"/>
        </w:rPr>
        <w:t xml:space="preserve">Competent Persons are assigned and trained to generate and approve the PTW; a Method Statement and AHA are submitted and approved before the permit is issued.</w:t>
      </w:r>
    </w:p>
    <w:p>
      <w:pPr>
        <w:pStyle w:val="ListParagraph"/>
        <w:numPr>
          <w:ilvl w:val="0"/>
          <w:numId w:val="2"/>
        </w:numPr>
        <w:spacing w:after="60" w:line="268"/>
        <w:jc w:val="both"/>
      </w:pPr>
      <w:r>
        <w:rPr>
          <w:rFonts w:ascii="Tahoma" w:cs="Tahoma" w:eastAsia="Tahoma" w:hAnsi="Tahoma"/>
          <w:sz w:val="20"/>
          <w:szCs w:val="20"/>
        </w:rPr>
        <w:t xml:space="preserve">Permits are valid for one shift (a new permit is required for work continuing beyond one shift), except pressurised-line testing that cannot be completed in a single shift.</w:t>
      </w:r>
    </w:p>
    <w:p>
      <w:pPr>
        <w:pStyle w:val="ListParagraph"/>
        <w:numPr>
          <w:ilvl w:val="0"/>
          <w:numId w:val="2"/>
        </w:numPr>
        <w:spacing w:after="60" w:line="268"/>
        <w:jc w:val="both"/>
      </w:pPr>
      <w:r>
        <w:rPr>
          <w:rFonts w:ascii="Tahoma" w:cs="Tahoma" w:eastAsia="Tahoma" w:hAnsi="Tahoma"/>
          <w:sz w:val="20"/>
          <w:szCs w:val="20"/>
        </w:rPr>
        <w:t xml:space="preserve">For renewal, perform a site review, update the Method Statement and AHA if conditions have changed, and issue a renewal permit.</w:t>
      </w:r>
    </w:p>
    <w:p>
      <w:pPr>
        <w:pStyle w:val="Heading2"/>
      </w:pPr>
      <w:r>
        <w:t xml:space="preserve">6.2 Close-Out and Cancellation</w:t>
      </w:r>
    </w:p>
    <w:p>
      <w:pPr>
        <w:pStyle w:val="ListParagraph"/>
        <w:numPr>
          <w:ilvl w:val="0"/>
          <w:numId w:val="2"/>
        </w:numPr>
        <w:spacing w:after="60" w:line="268"/>
        <w:jc w:val="both"/>
      </w:pPr>
      <w:r>
        <w:rPr>
          <w:rFonts w:ascii="Tahoma" w:cs="Tahoma" w:eastAsia="Tahoma" w:hAnsi="Tahoma"/>
          <w:sz w:val="20"/>
          <w:szCs w:val="20"/>
        </w:rPr>
        <w:t xml:space="preserve">Permits are closed out on completion of the work or expiry of the permit, whichever is first.</w:t>
      </w:r>
    </w:p>
    <w:p>
      <w:pPr>
        <w:pStyle w:val="ListParagraph"/>
        <w:numPr>
          <w:ilvl w:val="0"/>
          <w:numId w:val="2"/>
        </w:numPr>
        <w:spacing w:after="60" w:line="268"/>
        <w:jc w:val="both"/>
      </w:pPr>
      <w:r>
        <w:rPr>
          <w:rFonts w:ascii="Tahoma" w:cs="Tahoma" w:eastAsia="Tahoma" w:hAnsi="Tahoma"/>
          <w:sz w:val="20"/>
          <w:szCs w:val="20"/>
        </w:rPr>
        <w:t xml:space="preserve">Permits are cancelled where additional/unforeseen hazards are encountered, defective equipment is found, or new risks emerge not covered by the Method Statement or AHA.</w:t>
      </w:r>
    </w:p>
    <w:p>
      <w:pPr>
        <w:pStyle w:val="ListParagraph"/>
        <w:numPr>
          <w:ilvl w:val="0"/>
          <w:numId w:val="2"/>
        </w:numPr>
        <w:spacing w:after="60" w:line="268"/>
        <w:jc w:val="both"/>
      </w:pPr>
      <w:r>
        <w:rPr>
          <w:rFonts w:ascii="Tahoma" w:cs="Tahoma" w:eastAsia="Tahoma" w:hAnsi="Tahoma"/>
          <w:sz w:val="20"/>
          <w:szCs w:val="20"/>
        </w:rPr>
        <w:t xml:space="preserve">In an emergency, all active permits in the affected area are immediately cancelled and work stopped; a new permit is issued only once the site is confirmed secure and safe.</w:t>
      </w:r>
    </w:p>
    <w:p>
      <w:pPr>
        <w:pStyle w:val="Heading1"/>
      </w:pPr>
      <w:r>
        <w:t xml:space="preserve">7. Task-Specific Permits</w:t>
      </w:r>
    </w:p>
    <w:p>
      <w:pPr>
        <w:pStyle w:val="Heading2"/>
      </w:pPr>
      <w:r>
        <w:t xml:space="preserve">7.1 Lockout / Tagout (LOTO)</w:t>
      </w:r>
    </w:p>
    <w:p>
      <w:pPr>
        <w:spacing w:after="120" w:line="276"/>
        <w:jc w:val="both"/>
      </w:pPr>
      <w:r>
        <w:rPr>
          <w:rFonts w:ascii="Tahoma" w:cs="Tahoma" w:eastAsia="Tahoma" w:hAnsi="Tahoma"/>
          <w:sz w:val="20"/>
          <w:szCs w:val="20"/>
        </w:rPr>
        <w:t xml:space="preserve">All work requiring lockout/tagout of equipment, systems, tools or vehicles requires a LOTO permit. A change of personnel during the shift requires a new permit. The original permit is retained at the locked/tagged equipment until the locks/tags are removed and the equipment is re-energised.</w:t>
      </w:r>
    </w:p>
    <w:p>
      <w:pPr>
        <w:pStyle w:val="Heading2"/>
      </w:pPr>
      <w:r>
        <w:t xml:space="preserve">7.2 Hot Work</w:t>
      </w:r>
    </w:p>
    <w:p>
      <w:pPr>
        <w:spacing w:after="120" w:line="276"/>
        <w:jc w:val="both"/>
      </w:pPr>
      <w:r>
        <w:rPr>
          <w:rFonts w:ascii="Tahoma" w:cs="Tahoma" w:eastAsia="Tahoma" w:hAnsi="Tahoma"/>
          <w:sz w:val="20"/>
          <w:szCs w:val="20"/>
        </w:rPr>
        <w:t xml:space="preserve">Hot work includes any activity producing sparks or an open flame (torch cutting, welding, metal grinding, saw-cutting metal, sweating copper pipe, radiant heat guns/hot plates). A Hot Work PTW is required before any hot work of any size in any location.</w:t>
      </w:r>
    </w:p>
    <w:p>
      <w:pPr>
        <w:pStyle w:val="Heading2"/>
      </w:pPr>
      <w:r>
        <w:t xml:space="preserve">7.3 Pressurised Line Tests</w:t>
      </w:r>
    </w:p>
    <w:p>
      <w:pPr>
        <w:spacing w:after="120" w:line="276"/>
        <w:jc w:val="both"/>
      </w:pPr>
      <w:r>
        <w:rPr>
          <w:rFonts w:ascii="Tahoma" w:cs="Tahoma" w:eastAsia="Tahoma" w:hAnsi="Tahoma"/>
          <w:sz w:val="20"/>
          <w:szCs w:val="20"/>
        </w:rPr>
        <w:t xml:space="preserve">Pneumatic tests of any pressure, and hydraulic tests of 60 psig or greater, require a Pressurised Line Test permit valid for the planned test duration. Copies are posted at 82-ft (25 m) intervals along the line with the maximum test pressure displayed; the permit automatically terminates on line failure, and otherwise is terminated by the DAN Representative on completion or over-pressurisation.</w:t>
      </w:r>
    </w:p>
    <w:p>
      <w:pPr>
        <w:pStyle w:val="Heading2"/>
      </w:pPr>
      <w:r>
        <w:t xml:space="preserve">7.4 Confined Space Entry</w:t>
      </w:r>
    </w:p>
    <w:p>
      <w:pPr>
        <w:spacing w:after="120" w:line="276"/>
        <w:jc w:val="both"/>
      </w:pPr>
      <w:r>
        <w:rPr>
          <w:rFonts w:ascii="Tahoma" w:cs="Tahoma" w:eastAsia="Tahoma" w:hAnsi="Tahoma"/>
          <w:sz w:val="20"/>
          <w:szCs w:val="20"/>
        </w:rPr>
        <w:t xml:space="preserve">Entry into any permit-required confined space (manholes, pipes, tunnels, ducts, tanks, sump rooms, pumping/lift stations, valve chambers, long-sealed storerooms) requires a Confined Space Entry permit posted at the entry for the duration of the work. The permit is not terminated until all entrants have exited; entrants shall be aware of the permit specifications and hazardous conditions (see the Confined Space chapter).</w:t>
      </w:r>
    </w:p>
    <w:p>
      <w:pPr>
        <w:pStyle w:val="Heading2"/>
      </w:pPr>
      <w:r>
        <w:t xml:space="preserve">7.5 Suspended Man Baskets and Lifting</w:t>
      </w:r>
    </w:p>
    <w:p>
      <w:pPr>
        <w:pStyle w:val="ListParagraph"/>
        <w:numPr>
          <w:ilvl w:val="0"/>
          <w:numId w:val="2"/>
        </w:numPr>
        <w:spacing w:after="60" w:line="268"/>
        <w:jc w:val="both"/>
      </w:pPr>
      <w:r>
        <w:rPr>
          <w:rFonts w:ascii="Tahoma" w:cs="Tahoma" w:eastAsia="Tahoma" w:hAnsi="Tahoma"/>
          <w:sz w:val="20"/>
          <w:szCs w:val="20"/>
        </w:rPr>
        <w:t xml:space="preserve">All options for work platforms shall be considered (and eliminated) before using suspended man baskets; a Suspended Man Basket permit is required and posted on the crane or lift.</w:t>
      </w:r>
    </w:p>
    <w:p>
      <w:pPr>
        <w:pStyle w:val="ListParagraph"/>
        <w:numPr>
          <w:ilvl w:val="0"/>
          <w:numId w:val="2"/>
        </w:numPr>
        <w:spacing w:after="60" w:line="268"/>
        <w:jc w:val="both"/>
      </w:pPr>
      <w:r>
        <w:rPr>
          <w:rFonts w:ascii="Tahoma" w:cs="Tahoma" w:eastAsia="Tahoma" w:hAnsi="Tahoma"/>
          <w:sz w:val="20"/>
          <w:szCs w:val="20"/>
        </w:rPr>
        <w:t xml:space="preserve">Lifting operations (crane lifts, forklifts, hoists, Hiab, gin wheels, MEWPs, mast climbers) are controlled by the CONTRACTOR’s internal lifting plan; competent personnel are appointed, equipment is certified, safe working loads are never exceeded, and lifting accessories are third-party certified and thoroughly examined every six months.</w:t>
      </w:r>
    </w:p>
    <w:p>
      <w:pPr>
        <w:pStyle w:val="ListParagraph"/>
        <w:numPr>
          <w:ilvl w:val="0"/>
          <w:numId w:val="2"/>
        </w:numPr>
        <w:spacing w:after="60" w:line="268"/>
        <w:jc w:val="both"/>
      </w:pPr>
      <w:r>
        <w:rPr>
          <w:rFonts w:ascii="Tahoma" w:cs="Tahoma" w:eastAsia="Tahoma" w:hAnsi="Tahoma"/>
          <w:sz w:val="20"/>
          <w:szCs w:val="20"/>
        </w:rPr>
        <w:t xml:space="preserve">Any tandem lift, or lift using more than 70% of the crane’s rated capacity, requires a permit from DAN.</w:t>
      </w:r>
    </w:p>
    <w:p>
      <w:pPr>
        <w:pStyle w:val="Heading2"/>
      </w:pPr>
      <w:r>
        <w:t xml:space="preserve">7.6 Floor/Hole Opening, Radiography and Blasting</w:t>
      </w:r>
    </w:p>
    <w:p>
      <w:pPr>
        <w:pStyle w:val="ListParagraph"/>
        <w:numPr>
          <w:ilvl w:val="0"/>
          <w:numId w:val="2"/>
        </w:numPr>
        <w:spacing w:after="60" w:line="268"/>
        <w:jc w:val="both"/>
      </w:pPr>
      <w:r>
        <w:rPr>
          <w:rFonts w:ascii="Tahoma" w:cs="Tahoma" w:eastAsia="Tahoma" w:hAnsi="Tahoma"/>
          <w:sz w:val="20"/>
          <w:szCs w:val="20"/>
        </w:rPr>
        <w:t xml:space="preserve">A Grating/Floor Plate/Guardrail Removal checklist and permit is completed and approved before any such item is loosened or removed; fall protection is provided, no opening is left unguarded or beyond the end of a shift, and a watchman is posted if necessary.</w:t>
      </w:r>
    </w:p>
    <w:p>
      <w:pPr>
        <w:pStyle w:val="ListParagraph"/>
        <w:numPr>
          <w:ilvl w:val="0"/>
          <w:numId w:val="2"/>
        </w:numPr>
        <w:spacing w:after="60" w:line="268"/>
        <w:jc w:val="both"/>
      </w:pPr>
      <w:r>
        <w:rPr>
          <w:rFonts w:ascii="Tahoma" w:cs="Tahoma" w:eastAsia="Tahoma" w:hAnsi="Tahoma"/>
          <w:sz w:val="20"/>
          <w:szCs w:val="20"/>
        </w:rPr>
        <w:t xml:space="preserve">Radiography/NDT vendors provide evidence of calibration; NDT at night is prohibited; the work area is cleared, with exposure kept ALARP via shielding and collimation.</w:t>
      </w:r>
    </w:p>
    <w:p>
      <w:pPr>
        <w:pStyle w:val="ListParagraph"/>
        <w:numPr>
          <w:ilvl w:val="0"/>
          <w:numId w:val="2"/>
        </w:numPr>
        <w:spacing w:after="60" w:line="268"/>
        <w:jc w:val="both"/>
      </w:pPr>
      <w:r>
        <w:rPr>
          <w:rFonts w:ascii="Tahoma" w:cs="Tahoma" w:eastAsia="Tahoma" w:hAnsi="Tahoma"/>
          <w:sz w:val="20"/>
          <w:szCs w:val="20"/>
        </w:rPr>
        <w:t xml:space="preserve">An Abrasive Blasting permit is required for surface-preparation blasting; personnel are protected from hazardous dust and toxic metals, and blasting is conducted within a permanent enclosure unless conditions allow outdoor work with dust-collection control.</w:t>
      </w:r>
    </w:p>
    <w:p>
      <w:pPr>
        <w:pStyle w:val="Heading1"/>
      </w:pPr>
      <w:r>
        <w:t xml:space="preserve">8. Training</w:t>
      </w:r>
    </w:p>
    <w:p>
      <w:pPr>
        <w:spacing w:after="120" w:line="276"/>
        <w:jc w:val="both"/>
      </w:pPr>
      <w:r>
        <w:rPr>
          <w:rFonts w:ascii="Tahoma" w:cs="Tahoma" w:eastAsia="Tahoma" w:hAnsi="Tahoma"/>
          <w:sz w:val="20"/>
          <w:szCs w:val="20"/>
        </w:rPr>
        <w:t xml:space="preserve">The PTW Plan and its work activities shall be communicated to all CONTRACTOR personnel. Permit Receivers shall be trained (at least annually and as necessary), and all instruction documented; personnel not trained as Permit Receivers shall not be issued permits.</w:t>
      </w:r>
    </w:p>
    <w:p>
      <w:pPr>
        <w:pStyle w:val="Heading1"/>
      </w:pPr>
      <w:r>
        <w:t xml:space="preserve">9. Records</w:t>
      </w:r>
    </w:p>
    <w:p>
      <w:pPr>
        <w:spacing w:after="120" w:line="276"/>
        <w:jc w:val="both"/>
      </w:pPr>
      <w:r>
        <w:rPr>
          <w:rFonts w:ascii="Tahoma" w:cs="Tahoma" w:eastAsia="Tahoma" w:hAnsi="Tahoma"/>
          <w:sz w:val="20"/>
          <w:szCs w:val="20"/>
        </w:rPr>
        <w:t xml:space="preserve">A permit-records review is conducted at least annually by the DAN Representative. Copies of all terminated permits and Permit Receiver training records are retained on-site for the duration of the project and archived at project close.</w:t>
      </w:r>
    </w:p>
    <w:p>
      <w:pPr>
        <w:pStyle w:val="Heading1"/>
      </w:pPr>
      <w:r>
        <w:t xml:space="preserve">10. Related Documents</w:t>
      </w:r>
    </w:p>
    <w:p>
      <w:pPr>
        <w:pStyle w:val="ListParagraph"/>
        <w:numPr>
          <w:ilvl w:val="0"/>
          <w:numId w:val="2"/>
        </w:numPr>
        <w:spacing w:after="60" w:line="268"/>
        <w:jc w:val="both"/>
      </w:pPr>
      <w:r>
        <w:rPr>
          <w:rFonts w:ascii="Tahoma" w:cs="Tahoma" w:eastAsia="Tahoma" w:hAnsi="Tahoma"/>
          <w:sz w:val="20"/>
          <w:szCs w:val="20"/>
        </w:rPr>
        <w:t xml:space="preserve">DCSM — Confined Space</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Hot Works (Cutting, Welding and Brazing)</w:t>
      </w:r>
    </w:p>
    <w:p>
      <w:pPr>
        <w:pStyle w:val="ListParagraph"/>
        <w:numPr>
          <w:ilvl w:val="0"/>
          <w:numId w:val="2"/>
        </w:numPr>
        <w:spacing w:after="60" w:line="268"/>
        <w:jc w:val="both"/>
      </w:pPr>
      <w:r>
        <w:rPr>
          <w:rFonts w:ascii="Tahoma" w:cs="Tahoma" w:eastAsia="Tahoma" w:hAnsi="Tahoma"/>
          <w:sz w:val="20"/>
          <w:szCs w:val="20"/>
        </w:rPr>
        <w:t xml:space="preserve">Permit to Work forms and PTW Log</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Permit to Work</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01-DAN-PRC-HSE-000019-PTW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Work (PTW)</dc:title>
  <dc:creator>DAN HSSE Management System</dc:creator>
  <cp:lastModifiedBy>Un-named</cp:lastModifiedBy>
  <cp:revision>1</cp:revision>
  <dcterms:created xsi:type="dcterms:W3CDTF">2026-06-27T21:19:26.665Z</dcterms:created>
  <dcterms:modified xsi:type="dcterms:W3CDTF">2026-06-27T21:19:26.665Z</dcterms:modified>
</cp:coreProperties>
</file>

<file path=docProps/custom.xml><?xml version="1.0" encoding="utf-8"?>
<Properties xmlns="http://schemas.openxmlformats.org/officeDocument/2006/custom-properties" xmlns:vt="http://schemas.openxmlformats.org/officeDocument/2006/docPropsVTypes"/>
</file>