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Integrated Management System (IMS)</w:t>
      </w:r>
    </w:p>
    <w:p>
      <w:pPr>
        <w:spacing w:after="0" w:before="720"/>
      </w:pPr>
      <w:r>
        <w:rPr>
          <w:rFonts w:ascii="Tahoma" w:cs="Tahoma" w:eastAsia="Tahoma" w:hAnsi="Tahoma"/>
          <w:b/>
          <w:bCs/>
          <w:color w:val="542A12"/>
          <w:sz w:val="44"/>
          <w:szCs w:val="44"/>
        </w:rPr>
        <w:t xml:space="preserve">Health, Safety, Environment &amp; Welfare Policy</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01-000001-000000-DAN-HSE-POL-000001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IMS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Mohammed Alshehri</w:t>
            </w:r>
          </w:p>
          <w:p>
            <w:pPr>
              <w:spacing w:after="200"/>
            </w:pPr>
            <w:r>
              <w:rPr>
                <w:rFonts w:ascii="Tahoma" w:cs="Tahoma" w:eastAsia="Tahoma" w:hAnsi="Tahoma"/>
                <w:color w:val="595959"/>
                <w:sz w:val="14"/>
                <w:szCs w:val="14"/>
              </w:rPr>
              <w:t xml:space="preserve">HSSE Manager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Amjed Sammari</w:t>
            </w:r>
          </w:p>
          <w:p>
            <w:pPr>
              <w:spacing w:after="200"/>
            </w:pPr>
            <w:r>
              <w:rPr>
                <w:rFonts w:ascii="Tahoma" w:cs="Tahoma" w:eastAsia="Tahoma" w:hAnsi="Tahoma"/>
                <w:color w:val="595959"/>
                <w:sz w:val="14"/>
                <w:szCs w:val="14"/>
              </w:rPr>
              <w:t xml:space="preserve">Delivery Director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Abdulrahman Aba Alkhail</w:t>
            </w:r>
          </w:p>
          <w:p>
            <w:pPr>
              <w:spacing w:after="200"/>
            </w:pPr>
            <w:r>
              <w:rPr>
                <w:rFonts w:ascii="Tahoma" w:cs="Tahoma" w:eastAsia="Tahoma" w:hAnsi="Tahoma"/>
                <w:color w:val="595959"/>
                <w:sz w:val="14"/>
                <w:szCs w:val="14"/>
              </w:rPr>
              <w:t xml:space="preserve">Chief Executive Officer (CEO)</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keepNext/>
        <w:spacing w:after="80" w:before="160"/>
      </w:pPr>
      <w:r>
        <w:rPr>
          <w:rFonts w:ascii="Tahoma" w:cs="Tahoma" w:eastAsia="Tahoma" w:hAnsi="Tahoma"/>
          <w:b/>
          <w:bCs/>
          <w:color w:val="B5692B"/>
          <w:sz w:val="20"/>
          <w:szCs w:val="20"/>
          <w:highlight w:val="yellow"/>
        </w:rPr>
        <w:t xml:space="preserve">Scope</w:t>
      </w:r>
    </w:p>
    <w:p>
      <w:pPr>
        <w:spacing w:after="100" w:line="250"/>
        <w:jc w:val="both"/>
      </w:pPr>
      <w:r>
        <w:rPr>
          <w:rFonts w:ascii="Tahoma" w:cs="Tahoma" w:eastAsia="Tahoma" w:hAnsi="Tahoma"/>
          <w:sz w:val="19"/>
          <w:szCs w:val="19"/>
          <w:highlight w:val="yellow"/>
        </w:rPr>
        <w:t xml:space="preserve">This policy applies to DAN Company and all its projects, operations and facilities, and to all employees, managers, contractors, subcontractors and their workers, and visitors, wherever DAN has management control. It is a contractual reference for the Project Management Consultant (PMC) and Contractors and is communicated across the workforce.</w:t>
      </w:r>
    </w:p>
    <w:p>
      <w:pPr>
        <w:keepNext/>
        <w:spacing w:after="80" w:before="160"/>
      </w:pPr>
      <w:r>
        <w:rPr>
          <w:rFonts w:ascii="Tahoma" w:cs="Tahoma" w:eastAsia="Tahoma" w:hAnsi="Tahoma"/>
          <w:b/>
          <w:bCs/>
          <w:color w:val="B5692B"/>
          <w:sz w:val="20"/>
          <w:szCs w:val="20"/>
        </w:rPr>
        <w:t xml:space="preserve">Policy Statement</w:t>
      </w:r>
    </w:p>
    <w:p>
      <w:pPr>
        <w:spacing w:after="100" w:line="250"/>
        <w:jc w:val="both"/>
      </w:pPr>
      <w:r>
        <w:rPr>
          <w:rFonts w:ascii="Tahoma" w:cs="Tahoma" w:eastAsia="Tahoma" w:hAnsi="Tahoma"/>
          <w:sz w:val="19"/>
          <w:szCs w:val="19"/>
        </w:rPr>
        <w:t xml:space="preserve">DAN Company is committed to delivering its services in a manner that protects the health, safety and welfare of employees, contractors, and stakeholders, while safeguarding the environment. Through the continual improvement of our processes, services, and management systems, we aim to achieve our objectives in accordance with internationally recognized standards, including ISO 14001:2015 and ISO 45001:2018, ensuring sustainable performance, compliance, and operational excellence.</w:t>
      </w:r>
    </w:p>
    <w:p>
      <w:pPr>
        <w:keepNext/>
        <w:spacing w:after="80" w:before="160"/>
      </w:pPr>
      <w:r>
        <w:rPr>
          <w:rFonts w:ascii="Tahoma" w:cs="Tahoma" w:eastAsia="Tahoma" w:hAnsi="Tahoma"/>
          <w:b/>
          <w:bCs/>
          <w:color w:val="B5692B"/>
          <w:sz w:val="20"/>
          <w:szCs w:val="20"/>
          <w:highlight w:val="yellow"/>
        </w:rPr>
        <w:t xml:space="preserve">Leadership Accountability</w:t>
      </w:r>
    </w:p>
    <w:p>
      <w:pPr>
        <w:spacing w:after="100" w:line="250"/>
        <w:jc w:val="both"/>
      </w:pPr>
      <w:r>
        <w:rPr>
          <w:rFonts w:ascii="Tahoma" w:cs="Tahoma" w:eastAsia="Tahoma" w:hAnsi="Tahoma"/>
          <w:sz w:val="19"/>
          <w:szCs w:val="19"/>
          <w:highlight w:val="yellow"/>
        </w:rPr>
        <w:t xml:space="preserve">DAN's senior management, led by the Chief Executive Officer, is directly accountable for establishing, resourcing, leading and continually overseeing the HSE &amp; Welfare management system and its performance — not merely for committing to it in principle. Leadership owns this system; it is led from the top and supported by clearly assigned responsibilities across managers, employees and contractors.</w:t>
      </w:r>
    </w:p>
    <w:p>
      <w:pPr>
        <w:keepNext/>
        <w:spacing w:after="80" w:before="160"/>
      </w:pPr>
      <w:r>
        <w:rPr>
          <w:rFonts w:ascii="Tahoma" w:cs="Tahoma" w:eastAsia="Tahoma" w:hAnsi="Tahoma"/>
          <w:b/>
          <w:bCs/>
          <w:color w:val="B5692B"/>
          <w:sz w:val="20"/>
          <w:szCs w:val="20"/>
        </w:rPr>
        <w:t xml:space="preserve">Our HSE &amp; Welfare Commitments</w:t>
      </w:r>
    </w:p>
    <w:p>
      <w:pPr>
        <w:spacing w:after="100" w:line="250"/>
        <w:jc w:val="both"/>
      </w:pPr>
      <w:r>
        <w:rPr>
          <w:rFonts w:ascii="Tahoma" w:cs="Tahoma" w:eastAsia="Tahoma" w:hAnsi="Tahoma"/>
          <w:sz w:val="19"/>
          <w:szCs w:val="19"/>
        </w:rPr>
        <w:t xml:space="preserve">We affirm our commitment to fully implement the health, safety, environmental and welfare management system and ensure compliance with its requirements. This includes our commitment to:</w:t>
      </w:r>
    </w:p>
    <w:p>
      <w:pPr>
        <w:pStyle w:val="ListParagraph"/>
        <w:numPr>
          <w:ilvl w:val="0"/>
          <w:numId w:val="2"/>
        </w:numPr>
        <w:spacing w:after="34" w:line="242"/>
        <w:jc w:val="both"/>
      </w:pPr>
      <w:r>
        <w:rPr>
          <w:rFonts w:ascii="Tahoma" w:cs="Tahoma" w:eastAsia="Tahoma" w:hAnsi="Tahoma"/>
          <w:sz w:val="18"/>
          <w:szCs w:val="18"/>
          <w:highlight w:val="yellow"/>
        </w:rPr>
        <w:t xml:space="preserve">Eliminate hazards and reduce occupational health and safety risks by applying the hierarchy of controls.</w:t>
      </w:r>
    </w:p>
    <w:p>
      <w:pPr>
        <w:pStyle w:val="ListParagraph"/>
        <w:numPr>
          <w:ilvl w:val="0"/>
          <w:numId w:val="2"/>
        </w:numPr>
        <w:spacing w:after="34" w:line="242"/>
        <w:jc w:val="both"/>
      </w:pPr>
      <w:r>
        <w:rPr>
          <w:rFonts w:ascii="Tahoma" w:cs="Tahoma" w:eastAsia="Tahoma" w:hAnsi="Tahoma"/>
          <w:sz w:val="18"/>
          <w:szCs w:val="18"/>
          <w:highlight w:val="yellow"/>
        </w:rPr>
        <w:t xml:space="preserve">Set, monitor and review measurable HSE objectives and targets, and continually improve performance against them.</w:t>
      </w:r>
    </w:p>
    <w:p>
      <w:pPr>
        <w:pStyle w:val="ListParagraph"/>
        <w:numPr>
          <w:ilvl w:val="0"/>
          <w:numId w:val="2"/>
        </w:numPr>
        <w:spacing w:after="34" w:line="242"/>
        <w:jc w:val="both"/>
      </w:pPr>
      <w:r>
        <w:rPr>
          <w:rFonts w:ascii="Tahoma" w:cs="Tahoma" w:eastAsia="Tahoma" w:hAnsi="Tahoma"/>
          <w:sz w:val="18"/>
          <w:szCs w:val="18"/>
        </w:rPr>
        <w:t xml:space="preserve">Comply with all applicable laws and regulations, and adopt international best practices when local laws are insufficient.</w:t>
      </w:r>
    </w:p>
    <w:p>
      <w:pPr>
        <w:pStyle w:val="ListParagraph"/>
        <w:numPr>
          <w:ilvl w:val="0"/>
          <w:numId w:val="2"/>
        </w:numPr>
        <w:spacing w:after="34" w:line="242"/>
        <w:jc w:val="both"/>
      </w:pPr>
      <w:r>
        <w:rPr>
          <w:rFonts w:ascii="Tahoma" w:cs="Tahoma" w:eastAsia="Tahoma" w:hAnsi="Tahoma"/>
          <w:sz w:val="18"/>
          <w:szCs w:val="18"/>
        </w:rPr>
        <w:t xml:space="preserve">Provide the necessary equipment, information, training, supervision and resources to meet these objectives and to address health and safety needs.</w:t>
      </w:r>
    </w:p>
    <w:p>
      <w:pPr>
        <w:pStyle w:val="ListParagraph"/>
        <w:numPr>
          <w:ilvl w:val="0"/>
          <w:numId w:val="2"/>
        </w:numPr>
        <w:spacing w:after="34" w:line="242"/>
        <w:jc w:val="both"/>
      </w:pPr>
      <w:r>
        <w:rPr>
          <w:rFonts w:ascii="Tahoma" w:cs="Tahoma" w:eastAsia="Tahoma" w:hAnsi="Tahoma"/>
          <w:sz w:val="18"/>
          <w:szCs w:val="18"/>
        </w:rPr>
        <w:t xml:space="preserve">Encourage active worker participation in health and safety matters, promoting communication and shared responsibility for well-being.</w:t>
      </w:r>
    </w:p>
    <w:p>
      <w:pPr>
        <w:pStyle w:val="ListParagraph"/>
        <w:numPr>
          <w:ilvl w:val="0"/>
          <w:numId w:val="2"/>
        </w:numPr>
        <w:spacing w:after="34" w:line="242"/>
        <w:jc w:val="both"/>
      </w:pPr>
      <w:r>
        <w:rPr>
          <w:rFonts w:ascii="Tahoma" w:cs="Tahoma" w:eastAsia="Tahoma" w:hAnsi="Tahoma"/>
          <w:sz w:val="18"/>
          <w:szCs w:val="18"/>
        </w:rPr>
        <w:t xml:space="preserve">Report all workplace injuries and incidents, however minor, immediately, and maintain accurate records to monitor and improve the management system.</w:t>
      </w:r>
    </w:p>
    <w:p>
      <w:pPr>
        <w:pStyle w:val="ListParagraph"/>
        <w:numPr>
          <w:ilvl w:val="0"/>
          <w:numId w:val="2"/>
        </w:numPr>
        <w:spacing w:after="34" w:line="242"/>
        <w:jc w:val="both"/>
      </w:pPr>
      <w:r>
        <w:rPr>
          <w:rFonts w:ascii="Tahoma" w:cs="Tahoma" w:eastAsia="Tahoma" w:hAnsi="Tahoma"/>
          <w:sz w:val="18"/>
          <w:szCs w:val="18"/>
        </w:rPr>
        <w:t xml:space="preserve">Require everyone to follow the HSE &amp; Welfare policy and management system, with disciplinary action for non-compliance.</w:t>
      </w:r>
    </w:p>
    <w:p>
      <w:pPr>
        <w:pStyle w:val="ListParagraph"/>
        <w:numPr>
          <w:ilvl w:val="0"/>
          <w:numId w:val="2"/>
        </w:numPr>
        <w:spacing w:after="34" w:line="242"/>
        <w:jc w:val="both"/>
      </w:pPr>
      <w:r>
        <w:rPr>
          <w:rFonts w:ascii="Tahoma" w:cs="Tahoma" w:eastAsia="Tahoma" w:hAnsi="Tahoma"/>
          <w:sz w:val="18"/>
          <w:szCs w:val="18"/>
        </w:rPr>
        <w:t xml:space="preserve">Provide and maintain adequate welfare facilities — clean drinking water, sanitation, washing and rest areas, hygienic eating facilities and, where applicable, suitable worker accommodation — and manage them responsibly to reduce water, energy and waste impacts.</w:t>
      </w:r>
    </w:p>
    <w:p>
      <w:pPr>
        <w:pStyle w:val="ListParagraph"/>
        <w:numPr>
          <w:ilvl w:val="0"/>
          <w:numId w:val="2"/>
        </w:numPr>
        <w:spacing w:after="34" w:line="242"/>
        <w:jc w:val="both"/>
      </w:pPr>
      <w:r>
        <w:rPr>
          <w:rFonts w:ascii="Tahoma" w:cs="Tahoma" w:eastAsia="Tahoma" w:hAnsi="Tahoma"/>
          <w:sz w:val="18"/>
          <w:szCs w:val="18"/>
        </w:rPr>
        <w:t xml:space="preserve">Safeguard the physical and mental well-being of our workforce by managing occupational health, hygiene, heat stress, fatigue and psychosocial risks, and providing access to first aid and occupational-health support.</w:t>
      </w:r>
    </w:p>
    <w:p>
      <w:pPr>
        <w:pStyle w:val="ListParagraph"/>
        <w:numPr>
          <w:ilvl w:val="0"/>
          <w:numId w:val="2"/>
        </w:numPr>
        <w:spacing w:after="34" w:line="242"/>
        <w:jc w:val="both"/>
      </w:pPr>
      <w:r>
        <w:rPr>
          <w:rFonts w:ascii="Tahoma" w:cs="Tahoma" w:eastAsia="Tahoma" w:hAnsi="Tahoma"/>
          <w:sz w:val="18"/>
          <w:szCs w:val="18"/>
          <w:highlight w:val="yellow"/>
        </w:rPr>
        <w:t xml:space="preserve">Prohibit forced, bonded, compulsory and child labour and any form of modern slavery across DAN and its contractors, and protect workers' rights, dignity and freedom to raise concerns without reprisal.</w:t>
      </w:r>
    </w:p>
    <w:p>
      <w:pPr>
        <w:pStyle w:val="ListParagraph"/>
        <w:numPr>
          <w:ilvl w:val="0"/>
          <w:numId w:val="2"/>
        </w:numPr>
        <w:spacing w:after="34" w:line="242"/>
        <w:jc w:val="both"/>
      </w:pPr>
      <w:r>
        <w:rPr>
          <w:rFonts w:ascii="Tahoma" w:cs="Tahoma" w:eastAsia="Tahoma" w:hAnsi="Tahoma"/>
          <w:sz w:val="18"/>
          <w:szCs w:val="18"/>
        </w:rPr>
        <w:t xml:space="preserve">Promote a respectful and inclusive workplace, free from harassment and discrimination, that supports worker welfare, well-being and a healthy work-life balance.</w:t>
      </w:r>
    </w:p>
    <w:p>
      <w:pPr>
        <w:pStyle w:val="ListParagraph"/>
        <w:numPr>
          <w:ilvl w:val="0"/>
          <w:numId w:val="2"/>
        </w:numPr>
        <w:spacing w:after="34" w:line="242"/>
        <w:jc w:val="both"/>
      </w:pPr>
      <w:r>
        <w:rPr>
          <w:rFonts w:ascii="Tahoma" w:cs="Tahoma" w:eastAsia="Tahoma" w:hAnsi="Tahoma"/>
          <w:sz w:val="18"/>
          <w:szCs w:val="18"/>
        </w:rPr>
        <w:t xml:space="preserve">Consult and actively involve workers and their representatives in matters affecting their health, safety, welfare and well-being.</w:t>
      </w:r>
    </w:p>
    <w:p>
      <w:pPr>
        <w:pStyle w:val="ListParagraph"/>
        <w:numPr>
          <w:ilvl w:val="0"/>
          <w:numId w:val="2"/>
        </w:numPr>
        <w:spacing w:after="34" w:line="242"/>
        <w:jc w:val="both"/>
      </w:pPr>
      <w:r>
        <w:rPr>
          <w:rFonts w:ascii="Tahoma" w:cs="Tahoma" w:eastAsia="Tahoma" w:hAnsi="Tahoma"/>
          <w:sz w:val="18"/>
          <w:szCs w:val="18"/>
        </w:rPr>
        <w:t xml:space="preserve">Pursue continual improvement in health, safety, environment and welfare, and update the management system as needed.</w:t>
      </w:r>
    </w:p>
    <w:p>
      <w:pPr>
        <w:keepNext/>
        <w:spacing w:after="80" w:before="160"/>
      </w:pPr>
      <w:r>
        <w:rPr>
          <w:rFonts w:ascii="Tahoma" w:cs="Tahoma" w:eastAsia="Tahoma" w:hAnsi="Tahoma"/>
          <w:b/>
          <w:bCs/>
          <w:color w:val="B5692B"/>
          <w:sz w:val="20"/>
          <w:szCs w:val="20"/>
          <w:highlight w:val="yellow"/>
        </w:rPr>
        <w:t xml:space="preserve">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Role</w:t>
            </w:r>
          </w:p>
        </w:tc>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HSE &amp; Welfare responsibilities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Senior management / Leadership</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Own, lead, resource and oversee the HSE &amp; Welfare management system; set and review objectives; hold the delivery chain (PMC and Contractors) to account; review performance.</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Managers &amp; supervisors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Implement the system in their area of control; manage risks; ensure competence, safe systems of work and adequate welfare; act on hazards and incidents.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Employees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Follow HSE &amp; Welfare requirements; work safely; report hazards, incidents and concerns; participate in consultation and improvement.</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Contractors &amp; subcontractors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highlight w:val="yellow"/>
              </w:rPr>
              <w:t xml:space="preserve">Comply with DAN's HSE &amp; Welfare requirements; manage their workforce's health, safety and welfare; report and cooperate; uphold the same labour and welfare standards.</w:t>
            </w:r>
          </w:p>
        </w:tc>
      </w:tr>
    </w:tbl>
    <w:p>
      <w:pPr>
        <w:keepNext/>
        <w:spacing w:after="80" w:before="160"/>
      </w:pPr>
      <w:r>
        <w:rPr>
          <w:rFonts w:ascii="Tahoma" w:cs="Tahoma" w:eastAsia="Tahoma" w:hAnsi="Tahoma"/>
          <w:b/>
          <w:bCs/>
          <w:color w:val="B5692B"/>
          <w:sz w:val="20"/>
          <w:szCs w:val="20"/>
        </w:rPr>
        <w:t xml:space="preserve">Implementation, Review and Communication</w:t>
      </w:r>
    </w:p>
    <w:p>
      <w:pPr>
        <w:spacing w:after="100" w:line="250"/>
        <w:jc w:val="both"/>
      </w:pPr>
      <w:r>
        <w:rPr>
          <w:rFonts w:ascii="Tahoma" w:cs="Tahoma" w:eastAsia="Tahoma" w:hAnsi="Tahoma"/>
          <w:sz w:val="19"/>
          <w:szCs w:val="19"/>
        </w:rPr>
        <w:t xml:space="preserve">This policy demonstrates our strong commitment to health, safety, environmental and welfare management. It will be regularly reviewed and updated to stay effective and relevant, and communicated to all employees, contractors, and stakeholders to ensure a unified commitment to achieving our objectives.</w:t>
      </w:r>
    </w:p>
    <w:p>
      <w:pPr>
        <w:spacing w:after="20" w:before="140"/>
      </w:pPr>
      <w:r>
        <w:rPr>
          <w:rFonts w:ascii="Tahoma" w:cs="Tahoma" w:eastAsia="Tahoma" w:hAnsi="Tahoma"/>
          <w:b/>
          <w:bCs/>
          <w:color w:val="542A12"/>
          <w:sz w:val="19"/>
          <w:szCs w:val="19"/>
        </w:rPr>
        <w:t xml:space="preserve">Signed for and on behalf of DAN Company</w:t>
      </w:r>
    </w:p>
    <w:p>
      <w:pPr>
        <w:spacing w:after="0" w:line="264"/>
      </w:pPr>
      <w:r>
        <w:rPr>
          <w:rFonts w:ascii="Tahoma" w:cs="Tahoma" w:eastAsia="Tahoma" w:hAnsi="Tahoma"/>
          <w:b/>
          <w:bCs/>
          <w:sz w:val="19"/>
          <w:szCs w:val="19"/>
        </w:rPr>
        <w:t xml:space="preserve">Abdulrahman Aba Alkhail  —  Chief Executive Officer</w:t>
      </w:r>
    </w:p>
    <w:p>
      <w:pPr>
        <w:spacing w:before="60"/>
      </w:pPr>
      <w:r>
        <w:rPr>
          <w:rFonts w:ascii="Tahoma" w:cs="Tahoma" w:eastAsia="Tahoma" w:hAnsi="Tahoma"/>
          <w:color w:val="555555"/>
          <w:sz w:val="18"/>
          <w:szCs w:val="18"/>
        </w:rPr>
        <w:t xml:space="preserve">Signature: ____________________          Date: 01 June 2026</w:t>
      </w:r>
    </w:p>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IMS — HSE &amp; Welfare Policy</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01-000001-000000-DAN-HSE-POL-000001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Safety, Environment &amp; Welfare Policy</dc:title>
  <dc:creator>DAN HSSE Management System</dc:creator>
  <cp:lastModifiedBy>Un-named</cp:lastModifiedBy>
  <cp:revision>1</cp:revision>
  <dcterms:created xsi:type="dcterms:W3CDTF">2026-07-21T11:36:36.691Z</dcterms:created>
  <dcterms:modified xsi:type="dcterms:W3CDTF">2026-07-21T11:36:36.692Z</dcterms:modified>
</cp:coreProperties>
</file>

<file path=docProps/custom.xml><?xml version="1.0" encoding="utf-8"?>
<Properties xmlns="http://schemas.openxmlformats.org/officeDocument/2006/custom-properties" xmlns:vt="http://schemas.openxmlformats.org/officeDocument/2006/docPropsVTypes"/>
</file>