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Fire Protection and Prevention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01-000001-000000-DAN-HSE-PRC-000020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spacing w:after="40" w:line="259"/>
            <w:ind w:left="0"/>
          </w:pPr>
          <w:hyperlink w:anchor="_DanToc900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1. Purpose</w:t>
            </w:r>
          </w:hyperlink>
        </w:p>
        <w:p>
          <w:pPr>
            <w:spacing w:after="40" w:line="259"/>
            <w:ind w:left="0"/>
          </w:pPr>
          <w:hyperlink w:anchor="_DanToc900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2. Scope</w:t>
            </w:r>
          </w:hyperlink>
        </w:p>
        <w:p>
          <w:pPr>
            <w:spacing w:after="40" w:line="259"/>
            <w:ind w:left="0"/>
          </w:pPr>
          <w:hyperlink w:anchor="_DanToc900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3. References</w:t>
            </w:r>
          </w:hyperlink>
        </w:p>
        <w:p>
          <w:pPr>
            <w:spacing w:after="40" w:line="259"/>
            <w:ind w:left="0"/>
          </w:pPr>
          <w:hyperlink w:anchor="_DanToc900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4. Deliverables</w:t>
            </w:r>
          </w:hyperlink>
        </w:p>
        <w:p>
          <w:pPr>
            <w:spacing w:after="40" w:line="259"/>
            <w:ind w:left="0"/>
          </w:pPr>
          <w:hyperlink w:anchor="_DanToc900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5. Fire Protection</w:t>
            </w:r>
          </w:hyperlink>
        </w:p>
        <w:p>
          <w:pPr>
            <w:spacing w:after="40" w:line="259"/>
            <w:ind w:left="360"/>
          </w:pPr>
          <w:hyperlink w:anchor="_DanToc9005" w:history="1">
            <w:r>
              <w:rPr>
                <w:rFonts w:ascii="Tahoma" w:hAnsi="Tahoma" w:cs="Tahoma"/>
                <w:color w:val="444444"/>
                <w:sz w:val="19"/>
              </w:rPr>
              <w:t xml:space="preserve">5.1 Portable Fire Extinguishers</w:t>
            </w:r>
          </w:hyperlink>
        </w:p>
        <w:p>
          <w:pPr>
            <w:spacing w:after="40" w:line="259"/>
            <w:ind w:left="360"/>
          </w:pPr>
          <w:hyperlink w:anchor="_DanToc9006" w:history="1">
            <w:r>
              <w:rPr>
                <w:rFonts w:ascii="Tahoma" w:hAnsi="Tahoma" w:cs="Tahoma"/>
                <w:color w:val="444444"/>
                <w:sz w:val="19"/>
              </w:rPr>
              <w:t xml:space="preserve">5.2 Standpipe and Hose Systems</w:t>
            </w:r>
          </w:hyperlink>
        </w:p>
        <w:p>
          <w:pPr>
            <w:spacing w:after="40" w:line="259"/>
            <w:ind w:left="360"/>
          </w:pPr>
          <w:hyperlink w:anchor="_DanToc9007" w:history="1">
            <w:r>
              <w:rPr>
                <w:rFonts w:ascii="Tahoma" w:hAnsi="Tahoma" w:cs="Tahoma"/>
                <w:color w:val="444444"/>
                <w:sz w:val="19"/>
              </w:rPr>
              <w:t xml:space="preserve">5.3 Fixed Extinguishing Systems and Inspection</w:t>
            </w:r>
          </w:hyperlink>
        </w:p>
        <w:p>
          <w:pPr>
            <w:spacing w:after="40" w:line="259"/>
            <w:ind w:left="0"/>
          </w:pPr>
          <w:hyperlink w:anchor="_DanToc9008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6. Fire Prevention</w:t>
            </w:r>
          </w:hyperlink>
        </w:p>
        <w:p>
          <w:pPr>
            <w:spacing w:after="40" w:line="259"/>
            <w:ind w:left="360"/>
          </w:pPr>
          <w:hyperlink w:anchor="_DanToc9009" w:history="1">
            <w:r>
              <w:rPr>
                <w:rFonts w:ascii="Tahoma" w:hAnsi="Tahoma" w:cs="Tahoma"/>
                <w:color w:val="444444"/>
                <w:sz w:val="19"/>
              </w:rPr>
              <w:t xml:space="preserve">6.1 Site Layout</w:t>
            </w:r>
          </w:hyperlink>
        </w:p>
        <w:p>
          <w:pPr>
            <w:spacing w:after="40" w:line="259"/>
            <w:ind w:left="360"/>
          </w:pPr>
          <w:hyperlink w:anchor="_DanToc9010" w:history="1">
            <w:r>
              <w:rPr>
                <w:rFonts w:ascii="Tahoma" w:hAnsi="Tahoma" w:cs="Tahoma"/>
                <w:color w:val="444444"/>
                <w:sz w:val="19"/>
              </w:rPr>
              <w:t xml:space="preserve">6.2 Storage</w:t>
            </w:r>
          </w:hyperlink>
        </w:p>
        <w:p>
          <w:pPr>
            <w:spacing w:after="40" w:line="259"/>
            <w:ind w:left="360"/>
          </w:pPr>
          <w:hyperlink w:anchor="_DanToc9011" w:history="1">
            <w:r>
              <w:rPr>
                <w:rFonts w:ascii="Tahoma" w:hAnsi="Tahoma" w:cs="Tahoma"/>
                <w:color w:val="444444"/>
                <w:sz w:val="19"/>
              </w:rPr>
              <w:t xml:space="preserve">6.3 Control of Ignition Sources</w:t>
            </w:r>
          </w:hyperlink>
        </w:p>
        <w:p>
          <w:pPr>
            <w:spacing w:after="40" w:line="259"/>
            <w:ind w:left="360"/>
          </w:pPr>
          <w:hyperlink w:anchor="_DanToc9012" w:history="1">
            <w:r>
              <w:rPr>
                <w:rFonts w:ascii="Tahoma" w:hAnsi="Tahoma" w:cs="Tahoma"/>
                <w:color w:val="444444"/>
                <w:sz w:val="19"/>
              </w:rPr>
              <w:t xml:space="preserve">6.4 Flammable and Combustible Liquids and Gases</w:t>
            </w:r>
          </w:hyperlink>
        </w:p>
        <w:p>
          <w:pPr>
            <w:spacing w:after="40" w:line="259"/>
            <w:ind w:left="360"/>
          </w:pPr>
          <w:hyperlink w:anchor="_DanToc9013" w:history="1">
            <w:r>
              <w:rPr>
                <w:rFonts w:ascii="Tahoma" w:hAnsi="Tahoma" w:cs="Tahoma"/>
                <w:color w:val="444444"/>
                <w:sz w:val="19"/>
              </w:rPr>
              <w:t xml:space="preserve">6.5 Housekeeping</w:t>
            </w:r>
          </w:hyperlink>
        </w:p>
        <w:p>
          <w:pPr>
            <w:spacing w:after="40" w:line="259"/>
            <w:ind w:left="0"/>
          </w:pPr>
          <w:hyperlink w:anchor="_DanToc901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7. Training</w:t>
            </w:r>
          </w:hyperlink>
        </w:p>
        <w:p>
          <w:pPr>
            <w:spacing w:after="40" w:line="259"/>
            <w:ind w:left="0"/>
          </w:pPr>
          <w:hyperlink w:anchor="_DanToc9015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8. Records</w:t>
            </w:r>
          </w:hyperlink>
        </w:p>
        <w:p>
          <w:pPr>
            <w:spacing w:after="40" w:line="259"/>
            <w:ind w:left="0"/>
          </w:pPr>
          <w:hyperlink w:anchor="_DanToc9016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9. Related Documents</w:t>
            </w:r>
          </w:hyperlink>
        </w:p>
        <w:p>
          <w:pPr>
            <w:spacing w:after="40" w:line="259"/>
            <w:ind w:left="0"/>
          </w:pPr>
          <w:hyperlink w:anchor="_DanToc9017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Figures and Illustrations</w:t>
            </w:r>
          </w:hyperlink>
        </w:p>
        <w:p>
          <w:pPr>
            <w:spacing w:after="40" w:line="259"/>
            <w:ind w:left="0"/>
          </w:pPr>
          <w:hyperlink w:anchor="_DanToc9018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Revision History</w:t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9000" w:name="_DanToc9000"/>
      <w:r>
        <w:t xml:space="preserve">1. Purpose</w:t>
      </w:r>
      <w:bookmarkEnd w:id="9000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describes the requirements for fire protection and prevention on DAN projects and operating sites, including extinguishers, firefighting equipment and fire-warning systems. Fire-alarm, response, evacuation and exit-route requirements are integrated into the Emergency Planning and Response chapter.</w:t>
      </w:r>
    </w:p>
    <w:p>
      <w:pPr>
        <w:pStyle w:val="Heading1"/>
      </w:pPr>
      <w:bookmarkStart w:id="9001" w:name="_DanToc9001"/>
      <w:r>
        <w:t xml:space="preserve">2. Scope</w:t>
      </w:r>
      <w:bookmarkEnd w:id="9001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DAN project and operating sites, covering both fire protection (equipment and systems) and fire prevention (layout, storage, ignition control and housekeeping).</w:t>
      </w:r>
    </w:p>
    <w:p>
      <w:pPr>
        <w:pStyle w:val="Heading1"/>
      </w:pPr>
      <w:bookmarkStart w:id="9002" w:name="_DanToc9002"/>
      <w:r>
        <w:t xml:space="preserve">3. References</w:t>
      </w:r>
      <w:bookmarkEnd w:id="9002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NFPA 10 (portable extinguishers); NFPA 14 (standpipe and hose); NFPA 30 (flammable liquids); NFPA 58 (LPG); NFPA 70 (NEC)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29 CFR 1910.155–.165; 29 CFR 1926.150–.159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Emergency Planning and Response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Materials Handling / Storage and COSHH</w:t>
      </w:r>
    </w:p>
    <w:p>
      <w:pPr>
        <w:pStyle w:val="Heading1"/>
      </w:pPr>
      <w:bookmarkStart w:id="9003" w:name="_DanToc9003"/>
      <w:r>
        <w:t xml:space="preserve">4. Deliverables</w:t>
      </w:r>
      <w:bookmarkEnd w:id="9003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Fire Protection Plan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Fire Protection Equipment</w:t>
      </w:r>
    </w:p>
    <w:p>
      <w:pPr>
        <w:pStyle w:val="Heading1"/>
      </w:pPr>
      <w:bookmarkStart w:id="9004" w:name="_DanToc9004"/>
      <w:r>
        <w:t xml:space="preserve">5. Fire Protection</w:t>
      </w:r>
      <w:bookmarkEnd w:id="9004"/>
    </w:p>
    <w:p>
      <w:pPr>
        <w:pStyle w:val="Heading2"/>
      </w:pPr>
      <w:bookmarkStart w:id="9005" w:name="_DanToc9005"/>
      <w:r>
        <w:t xml:space="preserve">5.1 Portable Fire Extinguishers</w:t>
      </w:r>
      <w:bookmarkEnd w:id="9005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Extinguishers are distributed per NFPA 10, available in convenient, accessible locations, and selected to match the class of fire hazard: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60"/>
        <w:gridCol w:w="4000"/>
      </w:tblGrid>
      <w:tr>
        <w:trPr>
          <w:tblHeader/>
        </w:trPr>
        <w:tc>
          <w:tcPr>
            <w:tcW w:type="dxa" w:w="1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40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Hazard</w:t>
            </w:r>
          </w:p>
        </w:tc>
        <w:tc>
          <w:tcPr>
            <w:tcW w:type="dxa" w:w="4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Suitable Extinguishing Agents</w:t>
            </w:r>
          </w:p>
        </w:tc>
      </w:tr>
      <w:tr>
        <w:tc>
          <w:tcPr>
            <w:tcW w:type="dxa" w:w="1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 A</w:t>
            </w:r>
          </w:p>
        </w:tc>
        <w:tc>
          <w:tcPr>
            <w:tcW w:type="dxa" w:w="40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Ordinary combustibles (paper, wood, cloth, rubber, plastics)</w:t>
            </w:r>
          </w:p>
        </w:tc>
        <w:tc>
          <w:tcPr>
            <w:tcW w:type="dxa" w:w="4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Water, foam, loaded stream, or multipurpose dry chemical</w:t>
            </w:r>
          </w:p>
        </w:tc>
      </w:tr>
      <w:tr>
        <w:tc>
          <w:tcPr>
            <w:tcW w:type="dxa" w:w="1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 B</w:t>
            </w:r>
          </w:p>
        </w:tc>
        <w:tc>
          <w:tcPr>
            <w:tcW w:type="dxa" w:w="40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Flammable/combustible liquids, gases and greases</w:t>
            </w:r>
          </w:p>
        </w:tc>
        <w:tc>
          <w:tcPr>
            <w:tcW w:type="dxa" w:w="4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CO₂, dry chemical, foam, loaded stream (or Halon 1301/1211)</w:t>
            </w:r>
          </w:p>
        </w:tc>
      </w:tr>
      <w:tr>
        <w:tc>
          <w:tcPr>
            <w:tcW w:type="dxa" w:w="1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 C</w:t>
            </w:r>
          </w:p>
        </w:tc>
        <w:tc>
          <w:tcPr>
            <w:tcW w:type="dxa" w:w="40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Energised electrical equipment</w:t>
            </w:r>
          </w:p>
        </w:tc>
        <w:tc>
          <w:tcPr>
            <w:tcW w:type="dxa" w:w="4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CO₂ or dry chemical (electrically non-conductive media)</w:t>
            </w:r>
          </w:p>
        </w:tc>
      </w:tr>
      <w:tr>
        <w:tc>
          <w:tcPr>
            <w:tcW w:type="dxa" w:w="1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 D</w:t>
            </w:r>
          </w:p>
        </w:tc>
        <w:tc>
          <w:tcPr>
            <w:tcW w:type="dxa" w:w="40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Combustible metals (magnesium, titanium, sodium, lithium)</w:t>
            </w:r>
          </w:p>
        </w:tc>
        <w:tc>
          <w:tcPr>
            <w:tcW w:type="dxa" w:w="4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Universal dry-powder agents (e.g. Lith-X, dry graphite, dry sand)</w:t>
            </w:r>
          </w:p>
        </w:tc>
      </w:tr>
    </w:tbl>
    <w:p>
      <w:pPr>
        <w:spacing w:after="120" w:before="80"/>
      </w:pPr>
      <w:r>
        <w:rPr>
          <w:rFonts w:ascii="Tahoma" w:cs="Tahoma" w:eastAsia="Tahoma" w:hAnsi="Tahoma"/>
          <w:b/>
          <w:bCs/>
          <w:color w:val="542A12"/>
          <w:sz w:val="18"/>
          <w:szCs w:val="18"/>
        </w:rPr>
        <w:t xml:space="preserve">Note:  </w:t>
      </w:r>
      <w:r>
        <w:rPr>
          <w:rFonts w:ascii="Tahoma" w:cs="Tahoma" w:eastAsia="Tahoma" w:hAnsi="Tahoma"/>
          <w:color w:val="444444"/>
          <w:sz w:val="18"/>
          <w:szCs w:val="18"/>
        </w:rPr>
        <w:t xml:space="preserve">Water, gas or certain dry chemicals cannot extinguish or control Class D fires.</w:t>
      </w:r>
    </w:p>
    <w:p>
      <w:pPr>
        <w:pStyle w:val="Heading2"/>
      </w:pPr>
      <w:bookmarkStart w:id="9006" w:name="_DanToc9006"/>
      <w:r>
        <w:t xml:space="preserve">5.2 Standpipe and Hose Systems</w:t>
      </w:r>
      <w:bookmarkEnd w:id="9006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Acceptable standpipe systems may substitute for portable extinguishers where they provide the same coverage. Hoses are spaced to reach around obstructions and into enclosed areas; standpipes are protected from damage and stored in obstruction-free cabinets/covers, within reach without ladders, and designed and installed per NFPA 14. Unserviceable hose (dry-rotted, cross-threaded couplings, punctured) is removed from service.</w:t>
      </w:r>
    </w:p>
    <w:p>
      <w:pPr>
        <w:pStyle w:val="Heading2"/>
      </w:pPr>
      <w:bookmarkStart w:id="9007" w:name="_DanToc9007"/>
      <w:r>
        <w:t xml:space="preserve">5.3 Fixed Extinguishing Systems and Inspection</w:t>
      </w:r>
      <w:bookmarkEnd w:id="9007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Supervisors warn personnel of the hazards of fixed extinguishing systems (visual disorientation from dry-chemical clouds, hazardous combustion by-products from gaseous agents, hazardous post-discharge concentrations, liquid splatter).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Carbon tetrachloride and chlorobromomethane are prohibited where personnel could be exposed (chlorobromomethane is acceptable only as an explosion-suppression agent in unoccupied spaces).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 Competent Person inspects portable extinguishers (and respirators) at least monthly; when an extinguisher is removed from service, equivalent protection is provided (replacement units, a posted fire watch, restricted access or a ready hose system).</w:t>
      </w:r>
    </w:p>
    <w:p>
      <w:pPr>
        <w:pStyle w:val="Heading1"/>
      </w:pPr>
      <w:bookmarkStart w:id="9008" w:name="_DanToc9008"/>
      <w:r>
        <w:t xml:space="preserve">6. Fire Prevention</w:t>
      </w:r>
      <w:bookmarkEnd w:id="9008"/>
    </w:p>
    <w:p>
      <w:pPr>
        <w:pStyle w:val="Heading2"/>
      </w:pPr>
      <w:bookmarkStart w:id="9009" w:name="_DanToc9009"/>
      <w:r>
        <w:t xml:space="preserve">6.1 Site Layout</w:t>
      </w:r>
      <w:bookmarkEnd w:id="9009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Isolate or specially protect high-fire-risk operations (welding, open flame) from flammable/explosive materials.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Provide fire-department/emergency access roads not less than 6 m (20 ft) wide with 5.5 m (18 ft) overhead clearance, kept unobstructed, with more than one access road where a single road could be impaired.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Restrict flammable/combustible storage to the minimum necessary, meeting NFPA 30; provide NFPA 10 extinguishers of suitable type and number, clearly marked on the site layout.</w:t>
      </w:r>
    </w:p>
    <w:p>
      <w:pPr>
        <w:pStyle w:val="Heading2"/>
      </w:pPr>
      <w:bookmarkStart w:id="9010" w:name="_DanToc9010"/>
      <w:r>
        <w:t xml:space="preserve">6.2 Storage</w:t>
      </w:r>
      <w:bookmarkEnd w:id="9010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Outdoor storage: stack combustibles stably, no higher than 6 m (20 ft) and no stack larger than 141 m³; keep access roads at least 4.5 m (15 ft) wide; store flammables in a designated area away from ignition sources and separate from incompatible materials (e.g. oxidisers).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Indoor storage: store per fire characteristics; segregate incompatible materials by a 1-hour-rated barrier; maintain ceiling clearance (0.6 m without sprinklers, 0.5 m below sprinkler heads) and clearance around lights, heating units and fire-rated doors; never obstruct exits or exit-sign visibility.</w:t>
      </w:r>
    </w:p>
    <w:p>
      <w:pPr>
        <w:pStyle w:val="Heading2"/>
      </w:pPr>
      <w:bookmarkStart w:id="9011" w:name="_DanToc9011"/>
      <w:r>
        <w:t xml:space="preserve">6.3 Control of Ignition Sources</w:t>
      </w:r>
      <w:bookmarkEnd w:id="9011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Install temporary wiring per NFPA 70 with GFCIs, and regularly check electrical equipment for defects; post and enforce “No Smoking” signs (smoking only in designated areas).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Segregate welding equipment, asphalt kettles and other open flames from flammables; control indirect ignition (e.g. falling welding slag); open burning is prohibited without KSA Civil Defence authorisation.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Use bonding and grounding where static could ignite; remove ignition sources immediately on a hydrocarbon leak; provide flameproof welding screens; all cutting/welding/burning requires a qualified fire watcher present during and for at least ½ hour after the work.</w:t>
      </w:r>
    </w:p>
    <w:p>
      <w:pPr>
        <w:pStyle w:val="Heading2"/>
      </w:pPr>
      <w:bookmarkStart w:id="9012" w:name="_DanToc9012"/>
      <w:r>
        <w:t xml:space="preserve">6.4 Flammable and Combustible Liquids and Gases</w:t>
      </w:r>
      <w:bookmarkEnd w:id="9012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Store flammable liquids in securely capped metal containers or steel drums, clearly marked; keep volatile liquids (flash point below 32 °C) in metal lockers in ventilated, non-combustible huts.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Secure flammable storage areas at least 15 m (50 ft) from the nearest building, posting hazard signs and pictograms; observe outdoor stack limits (≤ 227 L/container, ≤ 4,160 L/area, 1.5 m separation, ≥ 6 m from structures) with a 3.6 m access way within 60 m.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Transport flammable/combustible liquids only in closed, labelled, FM-approved or UL-listed metal containers (plastic prohibited); place portable gasoline containers on the ground during filling, never in passenger compartments, and never use gasoline as a cleaning agent.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During transfer operations, separate from ignition sources by 25 ft or a 1-hour barrier, keep open flames 50 ft away, ground and bond containers, stop engines before refuelling, and prohibit mobile-phone use; store and use LPG per NFPA 58.</w:t>
      </w:r>
    </w:p>
    <w:p>
      <w:pPr>
        <w:pStyle w:val="Heading2"/>
      </w:pPr>
      <w:bookmarkStart w:id="9013" w:name="_DanToc9013"/>
      <w:r>
        <w:t xml:space="preserve">6.5 Housekeeping</w:t>
      </w:r>
      <w:bookmarkEnd w:id="9013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Remove waste from the worksite at regular intervals and at the end of each day; do not store combustibles under buildings or stairways.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Provide metal bins with close-fitting lids for oily rags and combustible waste (oily rags kept separate); use non-combustible absorbents for oil spills and leaks.</w:t>
      </w:r>
    </w:p>
    <w:p>
      <w:pPr>
        <w:pStyle w:val="Heading1"/>
      </w:pPr>
      <w:bookmarkStart w:id="9014" w:name="_DanToc9014"/>
      <w:r>
        <w:t xml:space="preserve">7. Training</w:t>
      </w:r>
      <w:bookmarkEnd w:id="9014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In-house authorised personnel are trained in fire awareness and response; the SH&amp;E Representative arranges initial training, and supervisors communicate safe behaviour and controls at daily toolbox talks.</w:t>
      </w:r>
    </w:p>
    <w:p>
      <w:pPr>
        <w:pStyle w:val="Heading1"/>
      </w:pPr>
      <w:bookmarkStart w:id="9015" w:name="_DanToc9015"/>
      <w:r>
        <w:t xml:space="preserve">8. Records</w:t>
      </w:r>
      <w:bookmarkEnd w:id="9015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Fire Protection Plan, inspection records and training records are documented and maintained on-site for the duration of the project and archived at project close.</w:t>
      </w:r>
    </w:p>
    <w:p>
      <w:pPr>
        <w:pStyle w:val="Heading1"/>
      </w:pPr>
      <w:bookmarkStart w:id="9016" w:name="_DanToc9016"/>
      <w:r>
        <w:t xml:space="preserve">9. Related Documents</w:t>
      </w:r>
      <w:bookmarkEnd w:id="9016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Emergency Planning and Response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Materials Handling / Storage and COSHH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Permit to Work (Hot Work)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Fire Prevention Inspection Checklist</w:t>
      </w:r>
    </w:p>
    <w:p>
      <w:pPr>
        <w:pStyle w:val="Heading1"/>
      </w:pPr>
      <w:bookmarkStart w:id="9017" w:name="_DanToc9017"/>
      <w:r>
        <w:t xml:space="preserve">Figures and Illustrations</w:t>
      </w:r>
      <w:bookmarkEnd w:id="9017"/>
    </w:p>
    <w:p>
      <w:pPr>
        <w:keepNext/>
        <w:spacing w:after="40" w:before="140"/>
        <w:jc w:val="center"/>
      </w:pPr>
      <w:r>
        <w:drawing>
          <wp:inline distT="0" distB="0" distL="0" distR="0">
            <wp:extent cx="3819525" cy="4476750"/>
            <wp:effectExtent t="0" r="0" b="0" l="0"/>
            <wp:docPr id="1" name="Approved Flammable-Liquids Storage Cabinet" descr="Approved Flammable-Liquids Storage Cabinet" title="Approved Flammable-Liquids Storage Cabi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ahoma" w:cs="Tahoma" w:eastAsia="Tahoma" w:hAnsi="Tahoma"/>
          <w:i/>
          <w:iCs/>
          <w:color w:val="542A12"/>
          <w:sz w:val="16"/>
          <w:szCs w:val="16"/>
        </w:rPr>
        <w:t xml:space="preserve">Approved Flammable-Liquids Storage Cabinet</w:t>
      </w:r>
    </w:p>
    <w:p>
      <w:pPr>
        <w:pStyle w:val="Heading1"/>
      </w:pPr>
      <w:bookmarkStart w:id="9018" w:name="_DanToc9018"/>
      <w:r>
        <w:t xml:space="preserve">Revision History</w:t>
      </w:r>
      <w:bookmarkEnd w:id="901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Re-coded to the updated DAN document-numbering convention (01-000001-000000-DAN-{discipline}-{type}-{seq}).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Fire Protection and Prevention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01-000001-000000-DAN-HSE-PRC-000020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image" Target="media/d59d6e3f1a6e2eccb4fd8083c82fa744df40f20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Fire Protection and Prevention</dc:title>
  <dc:creator>DAN HSSE Management System</dc:creator>
  <cp:lastModifiedBy>Un-named</cp:lastModifiedBy>
  <cp:revision>1</cp:revision>
  <dcterms:created xsi:type="dcterms:W3CDTF">2026-06-27T22:39:54.238Z</dcterms:created>
  <dcterms:modified xsi:type="dcterms:W3CDTF">2026-06-27T22:39:54.238Z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