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1428750" cy="1104900"/>
            <wp:effectExtent t="0" r="0" b="0" l="0"/>
            <wp:docPr id="1" name="DAN" descr="DAN Company logo" title="D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48B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9D88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82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35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480"/>
      </w:pPr>
      <w:r>
        <w:rPr>
          <w:rFonts w:ascii="Tahoma" w:cs="Tahoma" w:eastAsia="Tahoma" w:hAnsi="Tahoma"/>
          <w:b/>
          <w:bCs/>
          <w:color w:val="595959"/>
          <w:spacing w:val="30"/>
          <w:sz w:val="20"/>
          <w:szCs w:val="20"/>
        </w:rPr>
        <w:t xml:space="preserve">HEALTH, SAFETY &amp; ENVIRONMENT MANAGEMENT SYSTEM</w:t>
      </w:r>
    </w:p>
    <w:p>
      <w:pPr>
        <w:spacing w:after="0" w:before="40"/>
      </w:pPr>
      <w:r>
        <w:rPr>
          <w:rFonts w:ascii="Tahoma" w:cs="Tahoma" w:eastAsia="Tahoma" w:hAnsi="Tahoma"/>
          <w:color w:val="595959"/>
          <w:sz w:val="18"/>
          <w:szCs w:val="18"/>
        </w:rPr>
        <w:t xml:space="preserve">DAN Construction Safety Manual (DCSM)</w:t>
      </w:r>
    </w:p>
    <w:p>
      <w:pPr>
        <w:spacing w:after="0" w:before="720"/>
      </w:pPr>
      <w:r>
        <w:rPr>
          <w:rFonts w:ascii="Tahoma" w:cs="Tahoma" w:eastAsia="Tahoma" w:hAnsi="Tahoma"/>
          <w:b/>
          <w:bCs/>
          <w:color w:val="542A12"/>
          <w:sz w:val="44"/>
          <w:szCs w:val="44"/>
        </w:rPr>
        <w:t xml:space="preserve">Underground Construction</w:t>
      </w:r>
    </w:p>
    <w:p>
      <w:pPr>
        <w:pBdr>
          <w:top w:val="single" w:color="E68233" w:sz="12" w:space="8"/>
        </w:pBdr>
        <w:spacing w:after="0" w:before="200"/>
      </w:pPr>
      <w:r>
        <w:rPr>
          <w:rFonts w:ascii="Tahoma" w:cs="Tahoma" w:eastAsia="Tahoma" w:hAnsi="Tahoma"/>
          <w:sz w:val="8"/>
          <w:szCs w:val="8"/>
        </w:rPr>
        <w:t xml:space="preserve"/>
      </w:r>
    </w:p>
    <w:p>
      <w:pPr>
        <w:spacing w:after="120" w:before="48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No.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01-000001-000000-DAN-HSE-PRC-000030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Issue Date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Controlled — Internal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HSE Department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Page Format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US Letter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/>
      </w:pPr>
      <w:r>
        <w:rPr>
          <w:rFonts w:ascii="Tahoma" w:cs="Tahoma" w:eastAsia="Tahoma" w:hAnsi="Tahoma"/>
          <w:b/>
          <w:bCs/>
          <w:color w:val="542A12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spacing w:after="40" w:line="259"/>
            <w:ind w:left="0"/>
          </w:pPr>
          <w:hyperlink w:anchor="_DanToc9000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1. Purpose</w:t>
            </w:r>
          </w:hyperlink>
        </w:p>
        <w:p>
          <w:pPr>
            <w:spacing w:after="40" w:line="259"/>
            <w:ind w:left="0"/>
          </w:pPr>
          <w:hyperlink w:anchor="_DanToc9001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2. Scope</w:t>
            </w:r>
          </w:hyperlink>
        </w:p>
        <w:p>
          <w:pPr>
            <w:spacing w:after="40" w:line="259"/>
            <w:ind w:left="0"/>
          </w:pPr>
          <w:hyperlink w:anchor="_DanToc9002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3. References</w:t>
            </w:r>
          </w:hyperlink>
        </w:p>
        <w:p>
          <w:pPr>
            <w:spacing w:after="40" w:line="259"/>
            <w:ind w:left="0"/>
          </w:pPr>
          <w:hyperlink w:anchor="_DanToc9003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4. Deliverables</w:t>
            </w:r>
          </w:hyperlink>
        </w:p>
        <w:p>
          <w:pPr>
            <w:spacing w:after="40" w:line="259"/>
            <w:ind w:left="0"/>
          </w:pPr>
          <w:hyperlink w:anchor="_DanToc9004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5. Project Underground Construction Plan</w:t>
            </w:r>
          </w:hyperlink>
        </w:p>
        <w:p>
          <w:pPr>
            <w:spacing w:after="40" w:line="259"/>
            <w:ind w:left="0"/>
          </w:pPr>
          <w:hyperlink w:anchor="_DanToc9005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6. General Requirements</w:t>
            </w:r>
          </w:hyperlink>
        </w:p>
        <w:p>
          <w:pPr>
            <w:spacing w:after="40" w:line="259"/>
            <w:ind w:left="0"/>
          </w:pPr>
          <w:hyperlink w:anchor="_DanToc9006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7. Communication and Emergency Provisions</w:t>
            </w:r>
          </w:hyperlink>
        </w:p>
        <w:p>
          <w:pPr>
            <w:spacing w:after="40" w:line="259"/>
            <w:ind w:left="360"/>
          </w:pPr>
          <w:hyperlink w:anchor="_DanToc9007" w:history="1">
            <w:r>
              <w:rPr>
                <w:rFonts w:ascii="Tahoma" w:hAnsi="Tahoma" w:cs="Tahoma"/>
                <w:color w:val="444444"/>
                <w:sz w:val="19"/>
              </w:rPr>
              <w:t xml:space="preserve">7.1 Rescue Teams</w:t>
            </w:r>
          </w:hyperlink>
        </w:p>
        <w:p>
          <w:pPr>
            <w:spacing w:after="40" w:line="259"/>
            <w:ind w:left="0"/>
          </w:pPr>
          <w:hyperlink w:anchor="_DanToc9008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8. Ground Support and Drilling</w:t>
            </w:r>
          </w:hyperlink>
        </w:p>
        <w:p>
          <w:pPr>
            <w:spacing w:after="40" w:line="259"/>
            <w:ind w:left="0"/>
          </w:pPr>
          <w:hyperlink w:anchor="_DanToc9009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9. Air-Quality Monitoring</w:t>
            </w:r>
          </w:hyperlink>
        </w:p>
        <w:p>
          <w:pPr>
            <w:spacing w:after="40" w:line="259"/>
            <w:ind w:left="0"/>
          </w:pPr>
          <w:hyperlink w:anchor="_DanToc9010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10. Ventilation and Fire Prevention</w:t>
            </w:r>
          </w:hyperlink>
        </w:p>
        <w:p>
          <w:pPr>
            <w:spacing w:after="40" w:line="259"/>
            <w:ind w:left="0"/>
          </w:pPr>
          <w:hyperlink w:anchor="_DanToc9011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11. Hauling and Hoisting</w:t>
            </w:r>
          </w:hyperlink>
        </w:p>
        <w:p>
          <w:pPr>
            <w:spacing w:after="40" w:line="259"/>
            <w:ind w:left="0"/>
          </w:pPr>
          <w:hyperlink w:anchor="_DanToc9012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12. Training</w:t>
            </w:r>
          </w:hyperlink>
        </w:p>
        <w:p>
          <w:pPr>
            <w:spacing w:after="40" w:line="259"/>
            <w:ind w:left="0"/>
          </w:pPr>
          <w:hyperlink w:anchor="_DanToc9013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13. Records</w:t>
            </w:r>
          </w:hyperlink>
        </w:p>
        <w:p>
          <w:pPr>
            <w:spacing w:after="40" w:line="259"/>
            <w:ind w:left="0"/>
          </w:pPr>
          <w:hyperlink w:anchor="_DanToc9014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14. Related Documents</w:t>
            </w:r>
          </w:hyperlink>
        </w:p>
        <w:p>
          <w:pPr>
            <w:spacing w:after="40" w:line="259"/>
            <w:ind w:left="0"/>
          </w:pPr>
          <w:hyperlink w:anchor="_DanToc9015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Revision History</w:t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id="9000" w:name="_DanToc9000"/>
      <w:r>
        <w:t xml:space="preserve">1. Purpose</w:t>
      </w:r>
      <w:bookmarkEnd w:id="9000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details the requirements for the construction of underground tunnels, shafts, chambers and passageways, and for cut-and-cover excavations physically connected to ongoing underground operations and covered so as to create conditions characteristic of underground construction.</w:t>
      </w:r>
    </w:p>
    <w:p>
      <w:pPr>
        <w:pStyle w:val="Heading1"/>
      </w:pPr>
      <w:bookmarkStart w:id="9001" w:name="_DanToc9001"/>
      <w:r>
        <w:t xml:space="preserve">2. Scope</w:t>
      </w:r>
      <w:bookmarkEnd w:id="9001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applies to all underground construction on DAN projects, including ground support, air monitoring, ventilation, fire prevention, hauling, hoisting and emergency rescue.</w:t>
      </w:r>
    </w:p>
    <w:p>
      <w:pPr>
        <w:pStyle w:val="Heading1"/>
      </w:pPr>
      <w:bookmarkStart w:id="9002" w:name="_DanToc9002"/>
      <w:r>
        <w:t xml:space="preserve">3. References</w:t>
      </w:r>
      <w:bookmarkEnd w:id="9002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29 CFR 1926 Subpart S (Underground Construction, Caissons, Cofferdams and Compressed Air)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Excavations, Shoring and Backfilling; DCSM — Emergency Planning and Response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Fire Protection and Prevention; DCSM — Cranes and Hoists</w:t>
      </w:r>
    </w:p>
    <w:p>
      <w:pPr>
        <w:pStyle w:val="Heading1"/>
      </w:pPr>
      <w:bookmarkStart w:id="9003" w:name="_DanToc9003"/>
      <w:r>
        <w:t xml:space="preserve">4. Deliverables</w:t>
      </w:r>
      <w:bookmarkEnd w:id="9003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Project Underground Construction Plan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Emergency Rescue Plan</w:t>
      </w:r>
    </w:p>
    <w:p>
      <w:pPr>
        <w:pStyle w:val="Heading1"/>
      </w:pPr>
      <w:bookmarkStart w:id="9004" w:name="_DanToc9004"/>
      <w:r>
        <w:t xml:space="preserve">5. Project Underground Construction Plan</w:t>
      </w:r>
      <w:bookmarkEnd w:id="9004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A Competent Person in charge of the work develops the Plan (included in the Project Safety Plan or as a separate document). As a minimum it shall address the responsible and competent persons, AHAs and toolbox talks, controlled access/egress and check-in/check-out, communication, inspection and testing, air monitoring (substances and frequency), signage, training, emergency rescue, fire protection, ventilation, flood prevention and compressed-air work.</w:t>
      </w:r>
    </w:p>
    <w:p>
      <w:pPr>
        <w:pStyle w:val="Heading1"/>
      </w:pPr>
      <w:bookmarkStart w:id="9005" w:name="_DanToc9005"/>
      <w:r>
        <w:t xml:space="preserve">6. General Requirements</w:t>
      </w:r>
      <w:bookmarkEnd w:id="9005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Personnel shall be instructed in recognising and avoiding AHA hazards; oncoming shifts shall be informed of hazardous occurrences (gas liberation, equipment failure, slides, cave-ins, flooding, fire, explosion).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Personnel in wet areas shall wear rubber boots and rain gear; first-aid stations shall be provided at each portal/shaft or within 8 km (5 miles) and 15 minutes travel time.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Internal-combustion engines (except diesel on mobile equipment) are prohibited underground; a qualified electrician shall perform electrical work and trained welders shall perform hot work.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Access and egress shall protect personnel from being struck by excavators, haulage machines and mobile equipment; access to all openings shall be controlled to prevent unauthorised entry.</w:t>
      </w:r>
    </w:p>
    <w:p>
      <w:pPr>
        <w:pStyle w:val="Heading1"/>
      </w:pPr>
      <w:bookmarkStart w:id="9006" w:name="_DanToc9006"/>
      <w:r>
        <w:t xml:space="preserve">7. Communication and Emergency Provisions</w:t>
      </w:r>
      <w:bookmarkEnd w:id="9006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Where unassisted voice communication is ineffective, a power-assisted means shall connect the work face, shaft bottom and surface; two means of communication (one voice) shall be provided in shafts used for access or hoisting, tested on entry each shift.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An Emergency Rescue Plan shall be included and drilled; emergency equipment shall be within 15 minutes of each portal/shaft; all personnel shall have immediately available self-rescue respirators; a check-in/check-out procedure and a dedicated aboveground Designated Person shall maintain an accurate count of persons underground.</w:t>
      </w:r>
    </w:p>
    <w:p>
      <w:pPr>
        <w:pStyle w:val="Heading2"/>
      </w:pPr>
      <w:bookmarkStart w:id="9007" w:name="_DanToc9007"/>
      <w:r>
        <w:t xml:space="preserve">7.1 Rescue Teams</w:t>
      </w:r>
      <w:bookmarkEnd w:id="9007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Where 25 or more personnel work underground at one time, two 5-person rescue teams shall be arranged — one on-site or within one hour, the other within two hours (on-call); where fewer than 25, at least one 5-person team within ½ hour.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Rescue-team members shall be qualified and recertified annually in rescue procedures, breathing apparatus and firefighting, and shall practise donning SCBA monthly where flammable/noxious gases may be encountered.</w:t>
      </w:r>
    </w:p>
    <w:p>
      <w:pPr>
        <w:pStyle w:val="Heading1"/>
      </w:pPr>
      <w:bookmarkStart w:id="9008" w:name="_DanToc9008"/>
      <w:r>
        <w:t xml:space="preserve">8. Ground Support and Drilling</w:t>
      </w:r>
      <w:bookmarkEnd w:id="9008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Ground shall be stabilised by shoring, filling, barricading and scaling; shafts or wells over 1.5 m (5 ft) deep entered by personnel shall be supported by casing, concrete pipe, timber or solid rock; no one shall work in unsupported sections.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Conventional excavation shall not extend more than 24 in (60 cm) ahead of ground supports (48 in for continuous mining machines); voids behind supports shall be filled, blocked or braced.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 Competent Person shall inspect drilling equipment before each use; personnel shall not be on a drill mast while the bit operates; jumbo decks over 10 ft high shall have guard-railed stairs wide enough for two persons.</w:t>
      </w:r>
    </w:p>
    <w:p>
      <w:pPr>
        <w:pStyle w:val="Heading1"/>
      </w:pPr>
      <w:bookmarkStart w:id="9009" w:name="_DanToc9009"/>
      <w:r>
        <w:t xml:space="preserve">9. Air-Quality Monitoring</w:t>
      </w:r>
      <w:bookmarkEnd w:id="9009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A qualified Competent Person shall conduct air monitoring. Oxygen shall be tested before contaminants (normal range 20.5–22%). The atmosphere shall be tested for carbon monoxide, nitrogen dioxide, hydrogen sulphide and other contaminants as often as necessary to keep below the PEL. Key flammable-gas thresholds: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57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Required action</w:t>
            </w:r>
          </w:p>
        </w:tc>
      </w:tr>
      <w:tr>
        <w:tc>
          <w:tcPr>
            <w:tcW w:type="dxa" w:w="36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H₂S ≥ 5 ppm</w:t>
            </w:r>
          </w:p>
        </w:tc>
        <w:tc>
          <w:tcPr>
            <w:tcW w:type="dxa" w:w="57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Test at start and midpoint of each shift until &lt; 5 ppm for 3 consecutive days</w:t>
            </w:r>
          </w:p>
        </w:tc>
      </w:tr>
      <w:tr>
        <w:tc>
          <w:tcPr>
            <w:tcW w:type="dxa" w:w="36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H₂S &gt; 10 ppm</w:t>
            </w:r>
          </w:p>
        </w:tc>
        <w:tc>
          <w:tcPr>
            <w:tcW w:type="dxa" w:w="57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Continuous monitoring; notify personnel</w:t>
            </w:r>
          </w:p>
        </w:tc>
      </w:tr>
      <w:tr>
        <w:tc>
          <w:tcPr>
            <w:tcW w:type="dxa" w:w="36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H₂S 20 ppm</w:t>
            </w:r>
          </w:p>
        </w:tc>
        <w:tc>
          <w:tcPr>
            <w:tcW w:type="dxa" w:w="57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Visual and audible alarm — respirators, increased ventilation or evacuation</w:t>
            </w:r>
          </w:p>
        </w:tc>
      </w:tr>
      <w:tr>
        <w:tc>
          <w:tcPr>
            <w:tcW w:type="dxa" w:w="36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Flammable gas &gt; 5% LEL</w:t>
            </w:r>
          </w:p>
        </w:tc>
        <w:tc>
          <w:tcPr>
            <w:tcW w:type="dxa" w:w="57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Increase ventilation or otherwise control the gas concentration</w:t>
            </w:r>
          </w:p>
        </w:tc>
      </w:tr>
      <w:tr>
        <w:tc>
          <w:tcPr>
            <w:tcW w:type="dxa" w:w="36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Flammable gas &gt; 10% LEL (hot work)</w:t>
            </w:r>
          </w:p>
        </w:tc>
        <w:tc>
          <w:tcPr>
            <w:tcW w:type="dxa" w:w="57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Suspend hot work until reduced below 10% LEL</w:t>
            </w:r>
          </w:p>
        </w:tc>
      </w:tr>
      <w:tr>
        <w:tc>
          <w:tcPr>
            <w:tcW w:type="dxa" w:w="36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Flammable gas &gt; 20% LEL</w:t>
            </w:r>
          </w:p>
        </w:tc>
        <w:tc>
          <w:tcPr>
            <w:tcW w:type="dxa" w:w="57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Withdraw all non-essential personnel aboveground; cut power to the area</w:t>
            </w:r>
          </w:p>
        </w:tc>
      </w:tr>
    </w:tbl>
    <w:p>
      <w:pPr>
        <w:pStyle w:val="Heading1"/>
      </w:pPr>
      <w:bookmarkStart w:id="9010" w:name="_DanToc9010"/>
      <w:r>
        <w:t xml:space="preserve">10. Ventilation and Fire Prevention</w:t>
      </w:r>
      <w:bookmarkEnd w:id="9010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Mechanical ventilation shall supply at least 200 ft³ (5.7 m³) of fresh air per minute per person, with a linear velocity of at least 30 ft/min where dust or gases are produced; airflow shall be reversible and exhaust smoke/fumes after blasting.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Open flames are prohibited except for permitted hot work; gasoline shall not be carried, stored or used underground; no more than a 24-hour supply of diesel, fuel gas and oxygen shall be stored underground.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Fire extinguishers shall be provided at each portal/shaft entry, within 100 ft of the advancing face, at combustible-material locations, and at conveyor head/tail pulleys; underground structures within 100 ft of an opening shall have a one-hour fire-resistance rating.</w:t>
      </w:r>
    </w:p>
    <w:p>
      <w:pPr>
        <w:pStyle w:val="Heading1"/>
      </w:pPr>
      <w:bookmarkStart w:id="9011" w:name="_DanToc9011"/>
      <w:r>
        <w:t xml:space="preserve">11. Hauling and Hoisting</w:t>
      </w:r>
      <w:bookmarkEnd w:id="9011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Powered haulage equipment shall meet OSHA/ANSI specifications with audible and visual warnings, inspected before each shift; personnel shall not ride conveyors (endless belt-type man-lifts are prohibited).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Cranes and hoists shall comply with the Cranes and Hoists chapter; loads shall be secured against shifting into the shaft; a warning light shall flash when a load is above or moving in the shaft; where a hoistway is not fully enclosed, conveyances shall stop at least 15 ft above the bottom until the Signalman directs the Operator.</w:t>
      </w:r>
    </w:p>
    <w:p>
      <w:pPr>
        <w:pStyle w:val="Heading1"/>
      </w:pPr>
      <w:bookmarkStart w:id="9012" w:name="_DanToc9012"/>
      <w:r>
        <w:t xml:space="preserve">12. Training</w:t>
      </w:r>
      <w:bookmarkEnd w:id="9012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Personnel shall be trained at initial assignment, with supervisors identifying additional needs during method-statement and AHA development. Training covers air monitoring, PPE, ventilation, explosives, illumination, fire prevention, communications, emergency procedures (flood control, evacuation, check-in/check-out) and mechanical equipment. Rescue-team members are trained in jobsite conditions at least annually, with retraining on job/equipment changes.</w:t>
      </w:r>
    </w:p>
    <w:p>
      <w:pPr>
        <w:pStyle w:val="Heading1"/>
      </w:pPr>
      <w:bookmarkStart w:id="9013" w:name="_DanToc9013"/>
      <w:r>
        <w:t xml:space="preserve">13. Records</w:t>
      </w:r>
      <w:bookmarkEnd w:id="9013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Training records, air-monitoring records, inspection forms and the Underground Construction and Emergency Rescue Plans shall be maintained on-site and archived at project close.</w:t>
      </w:r>
    </w:p>
    <w:p>
      <w:pPr>
        <w:pStyle w:val="Heading1"/>
      </w:pPr>
      <w:bookmarkStart w:id="9014" w:name="_DanToc9014"/>
      <w:r>
        <w:t xml:space="preserve">14. Related Documents</w:t>
      </w:r>
      <w:bookmarkEnd w:id="9014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Excavations, Shoring and Backfilling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Emergency Planning and Response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Fire Protection and Prevention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Project Underground Construction Plan; Emergency Rescue Plan</w:t>
      </w:r>
    </w:p>
    <w:p>
      <w:pPr>
        <w:pStyle w:val="Heading1"/>
      </w:pPr>
      <w:bookmarkStart w:id="9015" w:name="_DanToc9015"/>
      <w:r>
        <w:t xml:space="preserve">Revision History</w:t>
      </w:r>
      <w:bookmarkEnd w:id="9015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4460"/>
        <w:gridCol w:w="2400"/>
      </w:tblGrid>
      <w:tr>
        <w:trPr>
          <w:tblHeader/>
        </w:trP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R00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Initial issue. Restructured to the DAN integrated HSSE management-system template and re-branded in accordance with the DAN Brand Book.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Director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Re-coded to the updated DAN document-numbering convention (01-000001-000000-DAN-{discipline}-{type}-{seq}).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Director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62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3AA" w:sz="6" w:space="4"/>
      </w:pBdr>
      <w:tabs>
        <w:tab w:val="right" w:pos="9360"/>
      </w:tabs>
    </w:pPr>
    <w:r>
      <w:rPr>
        <w:rFonts w:ascii="Tahoma" w:cs="Tahoma" w:eastAsia="Tahoma" w:hAnsi="Tahoma"/>
        <w:color w:val="595959"/>
        <w:sz w:val="14"/>
        <w:szCs w:val="14"/>
      </w:rPr>
      <w:t xml:space="preserve">DCSM — Underground Construction</w:t>
    </w:r>
    <w:r>
      <w:rPr>
        <w:rFonts w:ascii="Tahoma" w:cs="Tahoma" w:eastAsia="Tahoma" w:hAnsi="Tahoma"/>
        <w:sz w:val="14"/>
        <w:szCs w:val="14"/>
      </w:rPr>
      <w:t xml:space="preserve">	</w:t>
    </w:r>
    <w:r>
      <w:rPr>
        <w:rFonts w:ascii="Tahoma" w:cs="Tahoma" w:eastAsia="Tahoma" w:hAnsi="Tahoma"/>
        <w:color w:val="595959"/>
        <w:sz w:val="14"/>
        <w:szCs w:val="14"/>
      </w:rPr>
      <w:t xml:space="preserve">Page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595959"/>
        <w:sz w:val="14"/>
        <w:szCs w:val="14"/>
      </w:rPr>
      <w:t xml:space="preserve"> of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Tahoma" w:cs="Tahoma" w:eastAsia="Tahoma" w:hAnsi="Tahoma"/>
              <w:b/>
              <w:bCs/>
              <w:color w:val="542A12"/>
              <w:sz w:val="22"/>
              <w:szCs w:val="22"/>
            </w:rPr>
            <w:t xml:space="preserve">DAN</w:t>
          </w: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  |  HSSE Management System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01-000001-000000-DAN-HSE-PRC-000030 · R01</w:t>
          </w:r>
        </w:p>
      </w:tc>
    </w:tr>
  </w:tbl>
  <w:p>
    <w:pPr>
      <w:pBdr>
        <w:bottom w:val="single" w:color="542A12" w:sz="6" w:space="1"/>
      </w:pBdr>
      <w:spacing w:before="4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  <w:rPr>
        <w:color w:val="542A1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270"/>
      </w:pPr>
      <w:rPr>
        <w:color w:val="E6823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CCC2" w:sz="4" w:space="4"/>
      </w:pBdr>
      <w:spacing w:after="140" w:before="280"/>
      <w:outlineLvl w:val="0"/>
    </w:pPr>
    <w:rPr>
      <w:rFonts w:ascii="Tahoma" w:cs="Tahoma" w:eastAsia="Tahoma" w:hAnsi="Tahoma"/>
      <w:b/>
      <w:bCs/>
      <w:color w:val="542A1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B56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1936a4fbd2c20a575d426ea593d61c06905c28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Underground Construction</dc:title>
  <dc:creator>DAN HSSE Management System</dc:creator>
  <cp:lastModifiedBy>Un-named</cp:lastModifiedBy>
  <cp:revision>1</cp:revision>
  <dcterms:created xsi:type="dcterms:W3CDTF">2026-06-27T21:41:54.984Z</dcterms:created>
  <dcterms:modified xsi:type="dcterms:W3CDTF">2026-06-27T21:41:54.984Z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